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6B127F"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E9269D">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אילן בן-דור</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20A2A" w:rsidRDefault="00D2393C">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Pr="00405FAA" w:rsidRDefault="00D103DD" w:rsidP="0056601A">
            <w:pPr>
              <w:suppressLineNumbers/>
              <w:rPr>
                <w:rFonts w:ascii="Arial" w:hAnsi="Arial"/>
                <w:b/>
                <w:bCs/>
                <w:noProof w:val="0"/>
                <w:sz w:val="26"/>
                <w:szCs w:val="26"/>
              </w:rPr>
            </w:pPr>
            <w:sdt>
              <w:sdtPr>
                <w:rPr>
                  <w:rFonts w:ascii="Arial" w:hAnsi="Arial"/>
                  <w:b/>
                  <w:bCs/>
                  <w:noProof w:val="0"/>
                  <w:sz w:val="26"/>
                  <w:szCs w:val="26"/>
                  <w:rtl/>
                </w:rPr>
                <w:alias w:val="1478"/>
                <w:tag w:val="1478"/>
                <w:id w:val="-2076122985"/>
                <w:text w:multiLine="1"/>
              </w:sdtPr>
              <w:sdtEndPr/>
              <w:sdtContent>
                <w:r w:rsidR="006B127F">
                  <w:rPr>
                    <w:rFonts w:ascii="Arial" w:hAnsi="Arial"/>
                    <w:b/>
                    <w:bCs/>
                    <w:noProof w:val="0"/>
                    <w:sz w:val="26"/>
                    <w:szCs w:val="26"/>
                    <w:rtl/>
                  </w:rPr>
                  <w:t>לאון ליבשיץ</w:t>
                </w:r>
              </w:sdtContent>
            </w:sdt>
            <w:r w:rsidR="00405FAA">
              <w:rPr>
                <w:rFonts w:ascii="Arial" w:hAnsi="Arial" w:hint="cs"/>
                <w:b/>
                <w:bCs/>
                <w:noProof w:val="0"/>
                <w:sz w:val="26"/>
                <w:szCs w:val="26"/>
                <w:rtl/>
              </w:rPr>
              <w:t>,</w:t>
            </w:r>
            <w:r w:rsidR="00405FAA" w:rsidRPr="00405FAA">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671783830"/>
                <w:placeholder>
                  <w:docPart w:val="A97FD8D11CEA493FB869A797FB33F1CD"/>
                </w:placeholder>
                <w:text w:multiLine="1"/>
              </w:sdtPr>
              <w:sdtEndPr/>
              <w:sdtContent>
                <w:r w:rsidR="006B127F">
                  <w:rPr>
                    <w:rFonts w:ascii="Arial" w:hAnsi="Arial" w:hint="eastAsia"/>
                    <w:b/>
                    <w:bCs/>
                    <w:noProof w:val="0"/>
                    <w:sz w:val="26"/>
                    <w:szCs w:val="26"/>
                    <w:rtl/>
                  </w:rPr>
                  <w:t>ת"ז</w:t>
                </w:r>
              </w:sdtContent>
            </w:sdt>
            <w:r w:rsidR="00405FAA" w:rsidRPr="00405FAA">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201939812"/>
                <w:placeholder>
                  <w:docPart w:val="102EE9A76523462AB1E45F463AE1E9AF"/>
                </w:placeholder>
                <w:text w:multiLine="1"/>
              </w:sdtPr>
              <w:sdtEndPr/>
              <w:sdtContent>
                <w:r w:rsidR="006B127F">
                  <w:rPr>
                    <w:rFonts w:ascii="Arial" w:hAnsi="Arial" w:hint="eastAsia"/>
                    <w:b/>
                    <w:bCs/>
                    <w:noProof w:val="0"/>
                    <w:sz w:val="26"/>
                    <w:szCs w:val="26"/>
                    <w:rtl/>
                  </w:rPr>
                  <w:t>320850662</w:t>
                </w:r>
              </w:sdtContent>
            </w:sdt>
          </w:p>
        </w:tc>
      </w:tr>
      <w:tr w:rsidR="0094424E">
        <w:trPr>
          <w:jc w:val="center"/>
        </w:trPr>
        <w:tc>
          <w:tcPr>
            <w:tcW w:w="8820" w:type="dxa"/>
            <w:gridSpan w:val="3"/>
          </w:tcPr>
          <w:p w:rsidR="0094424E" w:rsidRDefault="0094424E" w:rsidP="00D66E7B">
            <w:pPr>
              <w:suppressLineNumbers/>
              <w:jc w:val="center"/>
              <w:rPr>
                <w:rFonts w:ascii="Arial" w:hAnsi="Arial"/>
                <w:b/>
                <w:bCs/>
                <w:noProof w:val="0"/>
                <w:sz w:val="26"/>
                <w:szCs w:val="26"/>
              </w:rPr>
            </w:pPr>
            <w:r>
              <w:rPr>
                <w:rFonts w:ascii="Arial" w:hAnsi="Arial"/>
                <w:b/>
                <w:bCs/>
                <w:noProof w:val="0"/>
                <w:sz w:val="26"/>
                <w:szCs w:val="26"/>
                <w:rtl/>
              </w:rPr>
              <w:t>נגד</w:t>
            </w:r>
          </w:p>
        </w:tc>
      </w:tr>
      <w:tr w:rsidR="0094424E">
        <w:trPr>
          <w:jc w:val="center"/>
        </w:trPr>
        <w:tc>
          <w:tcPr>
            <w:tcW w:w="3249" w:type="dxa"/>
            <w:gridSpan w:val="2"/>
          </w:tcPr>
          <w:p w:rsidR="0094424E" w:rsidRDefault="00D103DD" w:rsidP="00D44968">
            <w:pPr>
              <w:suppressLineNumbers/>
              <w:rPr>
                <w:rFonts w:ascii="Arial" w:hAnsi="Arial"/>
                <w:b/>
                <w:bCs/>
                <w:noProof w:val="0"/>
                <w:sz w:val="26"/>
                <w:szCs w:val="26"/>
              </w:rPr>
            </w:pPr>
            <w:sdt>
              <w:sdtPr>
                <w:rPr>
                  <w:rtl/>
                </w:rPr>
                <w:alias w:val="1184"/>
                <w:tag w:val="1184"/>
                <w:id w:val="-340621022"/>
                <w:text w:multiLine="1"/>
              </w:sdtPr>
              <w:sdtEndPr/>
              <w:sdtContent>
                <w:r w:rsidR="006B127F">
                  <w:rPr>
                    <w:rFonts w:ascii="Arial" w:hAnsi="Arial"/>
                    <w:b/>
                    <w:bCs/>
                    <w:noProof w:val="0"/>
                    <w:sz w:val="26"/>
                    <w:szCs w:val="26"/>
                    <w:rtl/>
                  </w:rPr>
                  <w:t>משיבים</w:t>
                </w:r>
              </w:sdtContent>
            </w:sdt>
          </w:p>
        </w:tc>
        <w:tc>
          <w:tcPr>
            <w:tcW w:w="5571" w:type="dxa"/>
          </w:tcPr>
          <w:p w:rsidR="00CF6BB7" w:rsidRDefault="00CF6BB7" w:rsidP="00D44968">
            <w:pPr>
              <w:suppressLineNumbers/>
              <w:rPr>
                <w:b/>
                <w:bCs/>
                <w:noProof w:val="0"/>
                <w:sz w:val="26"/>
                <w:szCs w:val="26"/>
                <w:rtl/>
              </w:rPr>
            </w:pPr>
          </w:p>
          <w:p w:rsidR="0094424E" w:rsidRDefault="00D103DD" w:rsidP="0056601A">
            <w:pPr>
              <w:suppressLineNumbers/>
              <w:rPr>
                <w:rtl/>
              </w:rPr>
            </w:pPr>
            <w:sdt>
              <w:sdtPr>
                <w:rPr>
                  <w:rtl/>
                </w:rPr>
                <w:alias w:val="1571"/>
                <w:tag w:val="1571"/>
                <w:id w:val="1028836282"/>
                <w:text w:multiLine="1"/>
              </w:sdtPr>
              <w:sdtEndPr/>
              <w:sdtContent>
                <w:r w:rsidR="006B127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6B127F">
                  <w:rPr>
                    <w:rFonts w:ascii="Arial" w:hAnsi="Arial"/>
                    <w:b/>
                    <w:bCs/>
                    <w:noProof w:val="0"/>
                    <w:sz w:val="26"/>
                    <w:szCs w:val="26"/>
                    <w:rtl/>
                  </w:rPr>
                  <w:t>ממונה על חדלות פירעון – מחוז תל אביב</w:t>
                </w:r>
              </w:sdtContent>
            </w:sdt>
          </w:p>
          <w:p w:rsidR="0094424E" w:rsidRDefault="00D103DD" w:rsidP="0056601A">
            <w:pPr>
              <w:suppressLineNumbers/>
              <w:rPr>
                <w:rtl/>
              </w:rPr>
            </w:pPr>
            <w:sdt>
              <w:sdtPr>
                <w:rPr>
                  <w:rtl/>
                </w:rPr>
                <w:alias w:val="1571"/>
                <w:tag w:val="1571"/>
                <w:id w:val="762112334"/>
                <w:text w:multiLine="1"/>
              </w:sdtPr>
              <w:sdtEndPr/>
              <w:sdtContent>
                <w:r w:rsidR="006B127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2033634247"/>
                <w:text w:multiLine="1"/>
              </w:sdtPr>
              <w:sdtEndPr/>
              <w:sdtContent>
                <w:r w:rsidR="006B127F">
                  <w:rPr>
                    <w:rFonts w:ascii="Arial" w:hAnsi="Arial"/>
                    <w:b/>
                    <w:bCs/>
                    <w:noProof w:val="0"/>
                    <w:sz w:val="26"/>
                    <w:szCs w:val="26"/>
                    <w:rtl/>
                  </w:rPr>
                  <w:t>עו"ד אוהד הראל (נאמן)</w:t>
                </w:r>
              </w:sdtContent>
            </w:sdt>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bookmarkStart w:id="0" w:name="NGCSBookmark" w:displacedByCustomXml="next"/>
    <w:bookmarkEnd w:id="0" w:displacedByCustomXml="next"/>
    <w:sdt>
      <w:sdtPr>
        <w:rPr>
          <w:rFonts w:ascii="Times New Roman" w:eastAsia="Times New Roman" w:hAnsi="Times New Roman" w:cs="David"/>
          <w:noProof/>
          <w:color w:val="auto"/>
          <w:sz w:val="24"/>
          <w:szCs w:val="24"/>
          <w:cs w:val="0"/>
          <w:lang w:val="he-IL"/>
        </w:rPr>
        <w:id w:val="-1408141722"/>
        <w:docPartObj>
          <w:docPartGallery w:val="Table of Contents"/>
          <w:docPartUnique/>
        </w:docPartObj>
      </w:sdtPr>
      <w:sdtEndPr>
        <w:rPr>
          <w:cs/>
          <w:lang w:val="en-US"/>
        </w:rPr>
      </w:sdtEndPr>
      <w:sdtContent>
        <w:p w:rsidR="00ED1645" w:rsidRDefault="00ED1645" w:rsidP="00AB18E2">
          <w:pPr>
            <w:pStyle w:val="af"/>
            <w:rPr>
              <w:cs w:val="0"/>
            </w:rPr>
          </w:pPr>
          <w:r>
            <w:rPr>
              <w:cs w:val="0"/>
              <w:lang w:val="he-IL"/>
            </w:rPr>
            <w:t>תוכן עניינים</w:t>
          </w:r>
        </w:p>
        <w:p w:rsidR="000B2697" w:rsidRDefault="00ED1645" w:rsidP="000B2697">
          <w:pPr>
            <w:pStyle w:val="TOC2"/>
            <w:tabs>
              <w:tab w:val="right" w:leader="dot" w:pos="8297"/>
            </w:tabs>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54422883" w:history="1">
            <w:r w:rsidR="000B2697" w:rsidRPr="006C0CEC">
              <w:rPr>
                <w:rStyle w:val="Hyperlink"/>
                <w:rtl/>
              </w:rPr>
              <w:t>א.מבוא</w:t>
            </w:r>
            <w:r w:rsidR="000B2697">
              <w:rPr>
                <w:webHidden/>
              </w:rPr>
              <w:tab/>
            </w:r>
            <w:r w:rsidR="000B2697">
              <w:rPr>
                <w:rStyle w:val="Hyperlink"/>
                <w:rtl/>
              </w:rPr>
              <w:fldChar w:fldCharType="begin"/>
            </w:r>
            <w:r w:rsidR="000B2697">
              <w:rPr>
                <w:webHidden/>
              </w:rPr>
              <w:instrText xml:space="preserve"> PAGEREF _Toc154422883 \h </w:instrText>
            </w:r>
            <w:r w:rsidR="000B2697">
              <w:rPr>
                <w:rStyle w:val="Hyperlink"/>
                <w:rtl/>
              </w:rPr>
            </w:r>
            <w:r w:rsidR="000B2697">
              <w:rPr>
                <w:rStyle w:val="Hyperlink"/>
                <w:rtl/>
              </w:rPr>
              <w:fldChar w:fldCharType="separate"/>
            </w:r>
            <w:r w:rsidR="000B2697">
              <w:rPr>
                <w:webHidden/>
              </w:rPr>
              <w:t>1</w:t>
            </w:r>
            <w:r w:rsidR="000B2697">
              <w:rPr>
                <w:rStyle w:val="Hyperlink"/>
                <w:rtl/>
              </w:rPr>
              <w:fldChar w:fldCharType="end"/>
            </w:r>
          </w:hyperlink>
        </w:p>
        <w:p w:rsidR="000B2697" w:rsidRDefault="00D103DD" w:rsidP="000B2697">
          <w:pPr>
            <w:pStyle w:val="TOC2"/>
            <w:tabs>
              <w:tab w:val="right" w:leader="dot" w:pos="8297"/>
            </w:tabs>
            <w:rPr>
              <w:rFonts w:asciiTheme="minorHAnsi" w:eastAsiaTheme="minorEastAsia" w:hAnsiTheme="minorHAnsi" w:cstheme="minorBidi"/>
              <w:sz w:val="22"/>
              <w:szCs w:val="22"/>
            </w:rPr>
          </w:pPr>
          <w:hyperlink w:anchor="_Toc154422884" w:history="1">
            <w:r w:rsidR="000B2697" w:rsidRPr="006C0CEC">
              <w:rPr>
                <w:rStyle w:val="Hyperlink"/>
                <w:b/>
                <w:bCs/>
                <w:rtl/>
              </w:rPr>
              <w:t>ב. ההליך</w:t>
            </w:r>
            <w:r w:rsidR="000B2697">
              <w:rPr>
                <w:webHidden/>
              </w:rPr>
              <w:tab/>
            </w:r>
            <w:r w:rsidR="000B2697">
              <w:rPr>
                <w:rStyle w:val="Hyperlink"/>
                <w:rtl/>
              </w:rPr>
              <w:fldChar w:fldCharType="begin"/>
            </w:r>
            <w:r w:rsidR="000B2697">
              <w:rPr>
                <w:webHidden/>
              </w:rPr>
              <w:instrText xml:space="preserve"> PAGEREF _Toc154422884 \h </w:instrText>
            </w:r>
            <w:r w:rsidR="000B2697">
              <w:rPr>
                <w:rStyle w:val="Hyperlink"/>
                <w:rtl/>
              </w:rPr>
            </w:r>
            <w:r w:rsidR="000B2697">
              <w:rPr>
                <w:rStyle w:val="Hyperlink"/>
                <w:rtl/>
              </w:rPr>
              <w:fldChar w:fldCharType="separate"/>
            </w:r>
            <w:r w:rsidR="000B2697">
              <w:rPr>
                <w:webHidden/>
              </w:rPr>
              <w:t>1</w:t>
            </w:r>
            <w:r w:rsidR="000B2697">
              <w:rPr>
                <w:rStyle w:val="Hyperlink"/>
                <w:rtl/>
              </w:rPr>
              <w:fldChar w:fldCharType="end"/>
            </w:r>
          </w:hyperlink>
        </w:p>
        <w:p w:rsidR="000B2697" w:rsidRDefault="00D103DD" w:rsidP="000B2697">
          <w:pPr>
            <w:pStyle w:val="TOC3"/>
            <w:tabs>
              <w:tab w:val="right" w:leader="dot" w:pos="8297"/>
            </w:tabs>
            <w:rPr>
              <w:rFonts w:asciiTheme="minorHAnsi" w:eastAsiaTheme="minorEastAsia" w:hAnsiTheme="minorHAnsi" w:cstheme="minorBidi"/>
              <w:sz w:val="22"/>
              <w:szCs w:val="22"/>
            </w:rPr>
          </w:pPr>
          <w:hyperlink w:anchor="_Toc154422885" w:history="1">
            <w:r w:rsidR="000B2697" w:rsidRPr="006C0CEC">
              <w:rPr>
                <w:rStyle w:val="Hyperlink"/>
                <w:rtl/>
              </w:rPr>
              <w:t xml:space="preserve">הצעת ממונה הנשענת על דוח ממצאים המצביע  על הפרה בוטה של תנאים  המצדיקה ביטול הליכים </w:t>
            </w:r>
            <w:r w:rsidR="000B2697" w:rsidRPr="006C0CEC">
              <w:rPr>
                <w:rStyle w:val="Hyperlink"/>
              </w:rPr>
              <w:t xml:space="preserve"> </w:t>
            </w:r>
            <w:r w:rsidR="000B2697" w:rsidRPr="006C0CEC">
              <w:rPr>
                <w:rStyle w:val="Hyperlink"/>
                <w:rtl/>
              </w:rPr>
              <w:t>מכוח סעיף 183 לחוק</w:t>
            </w:r>
            <w:r w:rsidR="000B2697">
              <w:rPr>
                <w:webHidden/>
              </w:rPr>
              <w:tab/>
            </w:r>
            <w:r w:rsidR="000B2697">
              <w:rPr>
                <w:rStyle w:val="Hyperlink"/>
                <w:rtl/>
              </w:rPr>
              <w:fldChar w:fldCharType="begin"/>
            </w:r>
            <w:r w:rsidR="000B2697">
              <w:rPr>
                <w:webHidden/>
              </w:rPr>
              <w:instrText xml:space="preserve"> PAGEREF _Toc154422885 \h </w:instrText>
            </w:r>
            <w:r w:rsidR="000B2697">
              <w:rPr>
                <w:rStyle w:val="Hyperlink"/>
                <w:rtl/>
              </w:rPr>
            </w:r>
            <w:r w:rsidR="000B2697">
              <w:rPr>
                <w:rStyle w:val="Hyperlink"/>
                <w:rtl/>
              </w:rPr>
              <w:fldChar w:fldCharType="separate"/>
            </w:r>
            <w:r w:rsidR="000B2697">
              <w:rPr>
                <w:webHidden/>
              </w:rPr>
              <w:t>2</w:t>
            </w:r>
            <w:r w:rsidR="000B2697">
              <w:rPr>
                <w:rStyle w:val="Hyperlink"/>
                <w:rtl/>
              </w:rPr>
              <w:fldChar w:fldCharType="end"/>
            </w:r>
          </w:hyperlink>
        </w:p>
        <w:p w:rsidR="000B2697" w:rsidRDefault="00D103DD" w:rsidP="000B2697">
          <w:pPr>
            <w:pStyle w:val="TOC3"/>
            <w:tabs>
              <w:tab w:val="right" w:leader="dot" w:pos="8297"/>
            </w:tabs>
            <w:rPr>
              <w:rFonts w:asciiTheme="minorHAnsi" w:eastAsiaTheme="minorEastAsia" w:hAnsiTheme="minorHAnsi" w:cstheme="minorBidi"/>
              <w:sz w:val="22"/>
              <w:szCs w:val="22"/>
            </w:rPr>
          </w:pPr>
          <w:hyperlink w:anchor="_Toc154422886" w:history="1">
            <w:r w:rsidR="000B2697" w:rsidRPr="006C0CEC">
              <w:rPr>
                <w:rStyle w:val="Hyperlink"/>
                <w:rtl/>
              </w:rPr>
              <w:t xml:space="preserve">בחירת יחיד לשוב להציע הסדר  חוב , בחלוף עיכוב הליכים  ארוך תוך סירוב לתיקון מחדלים </w:t>
            </w:r>
            <w:r w:rsidR="000B2697" w:rsidRPr="006C0CEC">
              <w:rPr>
                <w:rStyle w:val="Hyperlink"/>
              </w:rPr>
              <w:t xml:space="preserve"> </w:t>
            </w:r>
            <w:r w:rsidR="000B2697" w:rsidRPr="006C0CEC">
              <w:rPr>
                <w:rStyle w:val="Hyperlink"/>
                <w:rtl/>
              </w:rPr>
              <w:t>והתנגדות הממונה כך</w:t>
            </w:r>
            <w:r w:rsidR="000B2697">
              <w:rPr>
                <w:webHidden/>
              </w:rPr>
              <w:tab/>
            </w:r>
            <w:r w:rsidR="000B2697">
              <w:rPr>
                <w:rStyle w:val="Hyperlink"/>
                <w:rtl/>
              </w:rPr>
              <w:fldChar w:fldCharType="begin"/>
            </w:r>
            <w:r w:rsidR="000B2697">
              <w:rPr>
                <w:webHidden/>
              </w:rPr>
              <w:instrText xml:space="preserve"> PAGEREF _Toc154422886 \h </w:instrText>
            </w:r>
            <w:r w:rsidR="000B2697">
              <w:rPr>
                <w:rStyle w:val="Hyperlink"/>
                <w:rtl/>
              </w:rPr>
            </w:r>
            <w:r w:rsidR="000B2697">
              <w:rPr>
                <w:rStyle w:val="Hyperlink"/>
                <w:rtl/>
              </w:rPr>
              <w:fldChar w:fldCharType="separate"/>
            </w:r>
            <w:r w:rsidR="000B2697">
              <w:rPr>
                <w:webHidden/>
              </w:rPr>
              <w:t>2</w:t>
            </w:r>
            <w:r w:rsidR="000B2697">
              <w:rPr>
                <w:rStyle w:val="Hyperlink"/>
                <w:rtl/>
              </w:rPr>
              <w:fldChar w:fldCharType="end"/>
            </w:r>
          </w:hyperlink>
        </w:p>
        <w:p w:rsidR="000B2697" w:rsidRDefault="00D103DD" w:rsidP="000B2697">
          <w:pPr>
            <w:pStyle w:val="TOC3"/>
            <w:tabs>
              <w:tab w:val="right" w:leader="dot" w:pos="8297"/>
            </w:tabs>
            <w:rPr>
              <w:rFonts w:asciiTheme="minorHAnsi" w:eastAsiaTheme="minorEastAsia" w:hAnsiTheme="minorHAnsi" w:cstheme="minorBidi"/>
              <w:sz w:val="22"/>
              <w:szCs w:val="22"/>
            </w:rPr>
          </w:pPr>
          <w:hyperlink w:anchor="_Toc154422887" w:history="1">
            <w:r w:rsidR="000B2697" w:rsidRPr="006C0CEC">
              <w:rPr>
                <w:rStyle w:val="Hyperlink"/>
                <w:rtl/>
              </w:rPr>
              <w:t>עמדת הממונה לפיה במקרה זה על היחיד שביקש להציע הסדר חוב לתקן בראש וראשונה מחדליו</w:t>
            </w:r>
            <w:r w:rsidR="000B2697">
              <w:rPr>
                <w:webHidden/>
              </w:rPr>
              <w:tab/>
            </w:r>
            <w:r w:rsidR="000B2697">
              <w:rPr>
                <w:rStyle w:val="Hyperlink"/>
                <w:rtl/>
              </w:rPr>
              <w:fldChar w:fldCharType="begin"/>
            </w:r>
            <w:r w:rsidR="000B2697">
              <w:rPr>
                <w:webHidden/>
              </w:rPr>
              <w:instrText xml:space="preserve"> PAGEREF _Toc154422887 \h </w:instrText>
            </w:r>
            <w:r w:rsidR="000B2697">
              <w:rPr>
                <w:rStyle w:val="Hyperlink"/>
                <w:rtl/>
              </w:rPr>
            </w:r>
            <w:r w:rsidR="000B2697">
              <w:rPr>
                <w:rStyle w:val="Hyperlink"/>
                <w:rtl/>
              </w:rPr>
              <w:fldChar w:fldCharType="separate"/>
            </w:r>
            <w:r w:rsidR="000B2697">
              <w:rPr>
                <w:webHidden/>
              </w:rPr>
              <w:t>3</w:t>
            </w:r>
            <w:r w:rsidR="000B2697">
              <w:rPr>
                <w:rStyle w:val="Hyperlink"/>
                <w:rtl/>
              </w:rPr>
              <w:fldChar w:fldCharType="end"/>
            </w:r>
          </w:hyperlink>
        </w:p>
        <w:p w:rsidR="000B2697" w:rsidRDefault="00D103DD" w:rsidP="000B2697">
          <w:pPr>
            <w:pStyle w:val="TOC3"/>
            <w:tabs>
              <w:tab w:val="right" w:leader="dot" w:pos="8297"/>
            </w:tabs>
            <w:rPr>
              <w:rFonts w:asciiTheme="minorHAnsi" w:eastAsiaTheme="minorEastAsia" w:hAnsiTheme="minorHAnsi" w:cstheme="minorBidi"/>
              <w:sz w:val="22"/>
              <w:szCs w:val="22"/>
            </w:rPr>
          </w:pPr>
          <w:hyperlink w:anchor="_Toc154422888" w:history="1">
            <w:r w:rsidR="000B2697" w:rsidRPr="006C0CEC">
              <w:rPr>
                <w:rStyle w:val="Hyperlink"/>
                <w:b/>
                <w:bCs/>
                <w:rtl/>
              </w:rPr>
              <w:t>בדיון</w:t>
            </w:r>
            <w:r w:rsidR="000B2697">
              <w:rPr>
                <w:webHidden/>
              </w:rPr>
              <w:tab/>
            </w:r>
            <w:r w:rsidR="000B2697">
              <w:rPr>
                <w:rStyle w:val="Hyperlink"/>
                <w:rtl/>
              </w:rPr>
              <w:fldChar w:fldCharType="begin"/>
            </w:r>
            <w:r w:rsidR="000B2697">
              <w:rPr>
                <w:webHidden/>
              </w:rPr>
              <w:instrText xml:space="preserve"> PAGEREF _Toc154422888 \h </w:instrText>
            </w:r>
            <w:r w:rsidR="000B2697">
              <w:rPr>
                <w:rStyle w:val="Hyperlink"/>
                <w:rtl/>
              </w:rPr>
            </w:r>
            <w:r w:rsidR="000B2697">
              <w:rPr>
                <w:rStyle w:val="Hyperlink"/>
                <w:rtl/>
              </w:rPr>
              <w:fldChar w:fldCharType="separate"/>
            </w:r>
            <w:r w:rsidR="000B2697">
              <w:rPr>
                <w:webHidden/>
              </w:rPr>
              <w:t>3</w:t>
            </w:r>
            <w:r w:rsidR="000B2697">
              <w:rPr>
                <w:rStyle w:val="Hyperlink"/>
                <w:rtl/>
              </w:rPr>
              <w:fldChar w:fldCharType="end"/>
            </w:r>
          </w:hyperlink>
        </w:p>
        <w:p w:rsidR="000B2697" w:rsidRDefault="00D103DD" w:rsidP="000B2697">
          <w:pPr>
            <w:pStyle w:val="TOC2"/>
            <w:tabs>
              <w:tab w:val="right" w:leader="dot" w:pos="8297"/>
            </w:tabs>
            <w:rPr>
              <w:rFonts w:asciiTheme="minorHAnsi" w:eastAsiaTheme="minorEastAsia" w:hAnsiTheme="minorHAnsi" w:cstheme="minorBidi"/>
              <w:sz w:val="22"/>
              <w:szCs w:val="22"/>
            </w:rPr>
          </w:pPr>
          <w:hyperlink w:anchor="_Toc154422889" w:history="1">
            <w:r w:rsidR="000B2697" w:rsidRPr="006C0CEC">
              <w:rPr>
                <w:rStyle w:val="Hyperlink"/>
                <w:b/>
                <w:bCs/>
                <w:rtl/>
              </w:rPr>
              <w:t>ג. החלטה</w:t>
            </w:r>
            <w:r w:rsidR="000B2697">
              <w:rPr>
                <w:webHidden/>
              </w:rPr>
              <w:tab/>
            </w:r>
            <w:r w:rsidR="000B2697">
              <w:rPr>
                <w:rStyle w:val="Hyperlink"/>
                <w:rtl/>
              </w:rPr>
              <w:fldChar w:fldCharType="begin"/>
            </w:r>
            <w:r w:rsidR="000B2697">
              <w:rPr>
                <w:webHidden/>
              </w:rPr>
              <w:instrText xml:space="preserve"> PAGEREF _Toc154422889 \h </w:instrText>
            </w:r>
            <w:r w:rsidR="000B2697">
              <w:rPr>
                <w:rStyle w:val="Hyperlink"/>
                <w:rtl/>
              </w:rPr>
            </w:r>
            <w:r w:rsidR="000B2697">
              <w:rPr>
                <w:rStyle w:val="Hyperlink"/>
                <w:rtl/>
              </w:rPr>
              <w:fldChar w:fldCharType="separate"/>
            </w:r>
            <w:r w:rsidR="000B2697">
              <w:rPr>
                <w:webHidden/>
              </w:rPr>
              <w:t>3</w:t>
            </w:r>
            <w:r w:rsidR="000B2697">
              <w:rPr>
                <w:rStyle w:val="Hyperlink"/>
                <w:rtl/>
              </w:rPr>
              <w:fldChar w:fldCharType="end"/>
            </w:r>
          </w:hyperlink>
        </w:p>
        <w:p w:rsidR="000B2697" w:rsidRDefault="00D103DD" w:rsidP="000B2697">
          <w:pPr>
            <w:pStyle w:val="TOC2"/>
            <w:tabs>
              <w:tab w:val="right" w:leader="dot" w:pos="8297"/>
            </w:tabs>
            <w:rPr>
              <w:rFonts w:asciiTheme="minorHAnsi" w:eastAsiaTheme="minorEastAsia" w:hAnsiTheme="minorHAnsi" w:cstheme="minorBidi"/>
              <w:sz w:val="22"/>
              <w:szCs w:val="22"/>
            </w:rPr>
          </w:pPr>
          <w:hyperlink w:anchor="_Toc154422890" w:history="1">
            <w:r w:rsidR="000B2697" w:rsidRPr="006C0CEC">
              <w:rPr>
                <w:rStyle w:val="Hyperlink"/>
                <w:b/>
                <w:bCs/>
                <w:rtl/>
              </w:rPr>
              <w:t>ד.  תמצית הנימוקים</w:t>
            </w:r>
            <w:r w:rsidR="000B2697">
              <w:rPr>
                <w:webHidden/>
              </w:rPr>
              <w:tab/>
            </w:r>
            <w:r w:rsidR="000B2697">
              <w:rPr>
                <w:rStyle w:val="Hyperlink"/>
                <w:rtl/>
              </w:rPr>
              <w:fldChar w:fldCharType="begin"/>
            </w:r>
            <w:r w:rsidR="000B2697">
              <w:rPr>
                <w:webHidden/>
              </w:rPr>
              <w:instrText xml:space="preserve"> PAGEREF _Toc154422890 \h </w:instrText>
            </w:r>
            <w:r w:rsidR="000B2697">
              <w:rPr>
                <w:rStyle w:val="Hyperlink"/>
                <w:rtl/>
              </w:rPr>
            </w:r>
            <w:r w:rsidR="000B2697">
              <w:rPr>
                <w:rStyle w:val="Hyperlink"/>
                <w:rtl/>
              </w:rPr>
              <w:fldChar w:fldCharType="separate"/>
            </w:r>
            <w:r w:rsidR="000B2697">
              <w:rPr>
                <w:webHidden/>
              </w:rPr>
              <w:t>3</w:t>
            </w:r>
            <w:r w:rsidR="000B2697">
              <w:rPr>
                <w:rStyle w:val="Hyperlink"/>
                <w:rtl/>
              </w:rPr>
              <w:fldChar w:fldCharType="end"/>
            </w:r>
          </w:hyperlink>
        </w:p>
        <w:p w:rsidR="000B2697" w:rsidRDefault="00D103DD" w:rsidP="000B2697">
          <w:pPr>
            <w:pStyle w:val="TOC3"/>
            <w:tabs>
              <w:tab w:val="right" w:leader="dot" w:pos="8297"/>
            </w:tabs>
            <w:rPr>
              <w:rFonts w:asciiTheme="minorHAnsi" w:eastAsiaTheme="minorEastAsia" w:hAnsiTheme="minorHAnsi" w:cstheme="minorBidi"/>
              <w:sz w:val="22"/>
              <w:szCs w:val="22"/>
            </w:rPr>
          </w:pPr>
          <w:hyperlink w:anchor="_Toc154422891" w:history="1">
            <w:r w:rsidR="000B2697" w:rsidRPr="006C0CEC">
              <w:rPr>
                <w:rStyle w:val="Hyperlink"/>
                <w:rtl/>
              </w:rPr>
              <w:t>היעדר זכות לשימוש לרעה בהליכי חדלות פירעון כחלק מהעיקרון על איסור שימוש לרעה בהליכי משפט</w:t>
            </w:r>
            <w:r w:rsidR="000B2697">
              <w:rPr>
                <w:webHidden/>
              </w:rPr>
              <w:tab/>
            </w:r>
            <w:r w:rsidR="000B2697">
              <w:rPr>
                <w:rStyle w:val="Hyperlink"/>
                <w:rtl/>
              </w:rPr>
              <w:fldChar w:fldCharType="begin"/>
            </w:r>
            <w:r w:rsidR="000B2697">
              <w:rPr>
                <w:webHidden/>
              </w:rPr>
              <w:instrText xml:space="preserve"> PAGEREF _Toc154422891 \h </w:instrText>
            </w:r>
            <w:r w:rsidR="000B2697">
              <w:rPr>
                <w:rStyle w:val="Hyperlink"/>
                <w:rtl/>
              </w:rPr>
            </w:r>
            <w:r w:rsidR="000B2697">
              <w:rPr>
                <w:rStyle w:val="Hyperlink"/>
                <w:rtl/>
              </w:rPr>
              <w:fldChar w:fldCharType="separate"/>
            </w:r>
            <w:r w:rsidR="000B2697">
              <w:rPr>
                <w:webHidden/>
              </w:rPr>
              <w:t>4</w:t>
            </w:r>
            <w:r w:rsidR="000B2697">
              <w:rPr>
                <w:rStyle w:val="Hyperlink"/>
                <w:rtl/>
              </w:rPr>
              <w:fldChar w:fldCharType="end"/>
            </w:r>
          </w:hyperlink>
        </w:p>
        <w:p w:rsidR="000B2697" w:rsidRDefault="00D103DD" w:rsidP="000B2697">
          <w:pPr>
            <w:pStyle w:val="TOC2"/>
            <w:tabs>
              <w:tab w:val="right" w:leader="dot" w:pos="8297"/>
            </w:tabs>
            <w:rPr>
              <w:rFonts w:asciiTheme="minorHAnsi" w:eastAsiaTheme="minorEastAsia" w:hAnsiTheme="minorHAnsi" w:cstheme="minorBidi"/>
              <w:sz w:val="22"/>
              <w:szCs w:val="22"/>
            </w:rPr>
          </w:pPr>
          <w:hyperlink w:anchor="_Toc154422892" w:history="1">
            <w:r w:rsidR="000B2697" w:rsidRPr="006C0CEC">
              <w:rPr>
                <w:rStyle w:val="Hyperlink"/>
                <w:rtl/>
              </w:rPr>
              <w:t>ה. מן הכלל אל הפרט.</w:t>
            </w:r>
            <w:r w:rsidR="000B2697">
              <w:rPr>
                <w:webHidden/>
              </w:rPr>
              <w:tab/>
            </w:r>
            <w:r w:rsidR="000B2697">
              <w:rPr>
                <w:rStyle w:val="Hyperlink"/>
                <w:rtl/>
              </w:rPr>
              <w:fldChar w:fldCharType="begin"/>
            </w:r>
            <w:r w:rsidR="000B2697">
              <w:rPr>
                <w:webHidden/>
              </w:rPr>
              <w:instrText xml:space="preserve"> PAGEREF _Toc154422892 \h </w:instrText>
            </w:r>
            <w:r w:rsidR="000B2697">
              <w:rPr>
                <w:rStyle w:val="Hyperlink"/>
                <w:rtl/>
              </w:rPr>
            </w:r>
            <w:r w:rsidR="000B2697">
              <w:rPr>
                <w:rStyle w:val="Hyperlink"/>
                <w:rtl/>
              </w:rPr>
              <w:fldChar w:fldCharType="separate"/>
            </w:r>
            <w:r w:rsidR="000B2697">
              <w:rPr>
                <w:webHidden/>
              </w:rPr>
              <w:t>5</w:t>
            </w:r>
            <w:r w:rsidR="000B2697">
              <w:rPr>
                <w:rStyle w:val="Hyperlink"/>
                <w:rtl/>
              </w:rPr>
              <w:fldChar w:fldCharType="end"/>
            </w:r>
          </w:hyperlink>
        </w:p>
        <w:p w:rsidR="000B2697" w:rsidRDefault="00D103DD" w:rsidP="000B2697">
          <w:pPr>
            <w:pStyle w:val="TOC2"/>
            <w:tabs>
              <w:tab w:val="right" w:leader="dot" w:pos="8297"/>
            </w:tabs>
            <w:rPr>
              <w:rFonts w:asciiTheme="minorHAnsi" w:eastAsiaTheme="minorEastAsia" w:hAnsiTheme="minorHAnsi" w:cstheme="minorBidi"/>
              <w:sz w:val="22"/>
              <w:szCs w:val="22"/>
            </w:rPr>
          </w:pPr>
          <w:hyperlink w:anchor="_Toc154422893" w:history="1">
            <w:r w:rsidR="000B2697" w:rsidRPr="006C0CEC">
              <w:rPr>
                <w:rStyle w:val="Hyperlink"/>
                <w:rtl/>
              </w:rPr>
              <w:t>ו. סוף דבר</w:t>
            </w:r>
            <w:r w:rsidR="000B2697">
              <w:rPr>
                <w:webHidden/>
              </w:rPr>
              <w:tab/>
            </w:r>
            <w:r w:rsidR="000B2697">
              <w:rPr>
                <w:rStyle w:val="Hyperlink"/>
                <w:rtl/>
              </w:rPr>
              <w:fldChar w:fldCharType="begin"/>
            </w:r>
            <w:r w:rsidR="000B2697">
              <w:rPr>
                <w:webHidden/>
              </w:rPr>
              <w:instrText xml:space="preserve"> PAGEREF _Toc154422893 \h </w:instrText>
            </w:r>
            <w:r w:rsidR="000B2697">
              <w:rPr>
                <w:rStyle w:val="Hyperlink"/>
                <w:rtl/>
              </w:rPr>
            </w:r>
            <w:r w:rsidR="000B2697">
              <w:rPr>
                <w:rStyle w:val="Hyperlink"/>
                <w:rtl/>
              </w:rPr>
              <w:fldChar w:fldCharType="separate"/>
            </w:r>
            <w:r w:rsidR="000B2697">
              <w:rPr>
                <w:webHidden/>
              </w:rPr>
              <w:t>5</w:t>
            </w:r>
            <w:r w:rsidR="000B2697">
              <w:rPr>
                <w:rStyle w:val="Hyperlink"/>
                <w:rtl/>
              </w:rPr>
              <w:fldChar w:fldCharType="end"/>
            </w:r>
          </w:hyperlink>
        </w:p>
        <w:p w:rsidR="00ED1645" w:rsidRDefault="00ED1645" w:rsidP="00AB18E2">
          <w:pPr>
            <w:rPr>
              <w:rtl/>
              <w:cs/>
            </w:rPr>
          </w:pPr>
          <w:r>
            <w:rPr>
              <w:b/>
              <w:bCs/>
              <w:lang w:val="he-IL"/>
            </w:rPr>
            <w:fldChar w:fldCharType="end"/>
          </w:r>
        </w:p>
      </w:sdtContent>
    </w:sdt>
    <w:p w:rsidR="00824BE7" w:rsidRDefault="00824BE7" w:rsidP="00824BE7">
      <w:pPr>
        <w:spacing w:line="360" w:lineRule="auto"/>
        <w:ind w:left="501"/>
        <w:contextualSpacing/>
        <w:jc w:val="both"/>
        <w:rPr>
          <w:rFonts w:ascii="David" w:hAnsi="David"/>
          <w:rtl/>
        </w:rPr>
      </w:pPr>
    </w:p>
    <w:p w:rsidR="00824BE7" w:rsidRDefault="00824BE7" w:rsidP="00824BE7">
      <w:pPr>
        <w:pStyle w:val="2"/>
      </w:pPr>
      <w:bookmarkStart w:id="1" w:name="_Toc154422883"/>
      <w:r>
        <w:rPr>
          <w:rtl/>
        </w:rPr>
        <w:t>א.מבוא</w:t>
      </w:r>
      <w:bookmarkEnd w:id="1"/>
      <w:r>
        <w:rPr>
          <w:rtl/>
        </w:rPr>
        <w:t xml:space="preserve"> </w:t>
      </w:r>
    </w:p>
    <w:p w:rsidR="00824BE7" w:rsidRDefault="00824BE7" w:rsidP="00631D9D">
      <w:pPr>
        <w:numPr>
          <w:ilvl w:val="0"/>
          <w:numId w:val="1"/>
        </w:numPr>
        <w:ind w:hanging="531"/>
        <w:contextualSpacing/>
        <w:jc w:val="both"/>
        <w:rPr>
          <w:rFonts w:ascii="David" w:hAnsi="David"/>
        </w:rPr>
      </w:pPr>
      <w:r>
        <w:rPr>
          <w:rFonts w:ascii="David" w:hAnsi="David"/>
          <w:rtl/>
        </w:rPr>
        <w:t>מקרה המעורר את השאלה אם לאפשר ליחיד, שלבקשתו הוצא צו לפתיחת  הליכים, המזכה גם בעיכוב ההליכים  להפר בעקביות את הצו</w:t>
      </w:r>
      <w:r>
        <w:rPr>
          <w:rFonts w:ascii="David" w:hAnsi="David"/>
        </w:rPr>
        <w:t xml:space="preserve"> </w:t>
      </w:r>
      <w:r>
        <w:rPr>
          <w:rFonts w:ascii="David" w:hAnsi="David"/>
          <w:rtl/>
        </w:rPr>
        <w:t>ואת חובותיו  , ואז בחלוף תקופה נכרת וערב דיון ל</w:t>
      </w:r>
      <w:r w:rsidR="00631D9D">
        <w:rPr>
          <w:rFonts w:ascii="David" w:hAnsi="David" w:hint="cs"/>
          <w:rtl/>
        </w:rPr>
        <w:t>הסתפק ב</w:t>
      </w:r>
      <w:r>
        <w:rPr>
          <w:rFonts w:ascii="David" w:hAnsi="David"/>
          <w:rtl/>
        </w:rPr>
        <w:t xml:space="preserve">בקשה לאישור  הסדר </w:t>
      </w:r>
      <w:r w:rsidR="00631D9D">
        <w:rPr>
          <w:rFonts w:ascii="David" w:hAnsi="David" w:hint="cs"/>
          <w:rtl/>
        </w:rPr>
        <w:t xml:space="preserve"> שכולל נטילת הלוואה חדשה </w:t>
      </w:r>
      <w:r>
        <w:rPr>
          <w:rFonts w:ascii="David" w:hAnsi="David"/>
          <w:rtl/>
        </w:rPr>
        <w:t xml:space="preserve"> בעודו  ממשיך לפטור עצמו  מהסרת מחדליו שלמעשה סכלו  כל אפשרות לברר כראוי את  פוטנציאל הפירעון שלו  . </w:t>
      </w:r>
      <w:r>
        <w:rPr>
          <w:rFonts w:ascii="David" w:hAnsi="David"/>
        </w:rPr>
        <w:t xml:space="preserve">   </w:t>
      </w:r>
    </w:p>
    <w:p w:rsidR="00824BE7" w:rsidRPr="00C324D0" w:rsidRDefault="00824BE7" w:rsidP="00824BE7">
      <w:pPr>
        <w:pStyle w:val="2"/>
        <w:spacing w:line="240" w:lineRule="auto"/>
        <w:rPr>
          <w:b/>
          <w:bCs/>
          <w:u w:val="single"/>
        </w:rPr>
      </w:pPr>
      <w:bookmarkStart w:id="2" w:name="_Toc154422884"/>
      <w:r w:rsidRPr="00C324D0">
        <w:rPr>
          <w:b/>
          <w:bCs/>
          <w:u w:val="single"/>
          <w:rtl/>
        </w:rPr>
        <w:t>ב. ההליך</w:t>
      </w:r>
      <w:bookmarkEnd w:id="2"/>
      <w:r w:rsidRPr="00C324D0">
        <w:rPr>
          <w:b/>
          <w:bCs/>
          <w:u w:val="single"/>
          <w:rtl/>
        </w:rPr>
        <w:t xml:space="preserve"> </w:t>
      </w:r>
    </w:p>
    <w:p w:rsidR="00824BE7" w:rsidRDefault="00824BE7" w:rsidP="006221CB">
      <w:pPr>
        <w:numPr>
          <w:ilvl w:val="0"/>
          <w:numId w:val="1"/>
        </w:numPr>
        <w:ind w:hanging="531"/>
        <w:contextualSpacing/>
        <w:jc w:val="both"/>
        <w:rPr>
          <w:rFonts w:ascii="David" w:hAnsi="David"/>
          <w:rtl/>
        </w:rPr>
      </w:pPr>
      <w:r>
        <w:rPr>
          <w:rFonts w:ascii="David" w:hAnsi="David"/>
          <w:rtl/>
        </w:rPr>
        <w:t xml:space="preserve">אזכיר, שההליכים  נפתחו לבקשת היחיד כבר ביום </w:t>
      </w:r>
      <w:r>
        <w:rPr>
          <w:rFonts w:ascii="David" w:hAnsi="David"/>
        </w:rPr>
        <w:t xml:space="preserve"> </w:t>
      </w:r>
      <w:r>
        <w:rPr>
          <w:rFonts w:ascii="David" w:hAnsi="David"/>
          <w:rtl/>
        </w:rPr>
        <w:t xml:space="preserve">12.9.22 .מאז התנהלותו משופעת במחדלים קרדינליים  </w:t>
      </w:r>
    </w:p>
    <w:p w:rsidR="00824BE7" w:rsidRPr="00C324D0" w:rsidRDefault="00824BE7" w:rsidP="00B44990">
      <w:pPr>
        <w:numPr>
          <w:ilvl w:val="0"/>
          <w:numId w:val="1"/>
        </w:numPr>
        <w:ind w:hanging="531"/>
        <w:contextualSpacing/>
        <w:jc w:val="both"/>
        <w:rPr>
          <w:rFonts w:ascii="David" w:hAnsi="David"/>
        </w:rPr>
      </w:pPr>
      <w:r w:rsidRPr="00C324D0">
        <w:rPr>
          <w:rFonts w:ascii="David" w:hAnsi="David"/>
          <w:rtl/>
        </w:rPr>
        <w:lastRenderedPageBreak/>
        <w:t xml:space="preserve">לקראת מועד הדיון הממונה ,הגיש הצעה </w:t>
      </w:r>
      <w:r w:rsidRPr="00C324D0">
        <w:rPr>
          <w:rFonts w:ascii="David" w:hAnsi="David"/>
          <w:b/>
          <w:bCs/>
          <w:u w:val="single"/>
          <w:rtl/>
        </w:rPr>
        <w:t xml:space="preserve">לביטול הליכים </w:t>
      </w:r>
      <w:r w:rsidRPr="00C324D0">
        <w:rPr>
          <w:rFonts w:ascii="David" w:hAnsi="David"/>
          <w:rtl/>
        </w:rPr>
        <w:t xml:space="preserve">, אך  היחיד </w:t>
      </w:r>
      <w:r w:rsidR="006221CB" w:rsidRPr="00C324D0">
        <w:rPr>
          <w:rFonts w:ascii="David" w:hAnsi="David" w:hint="cs"/>
          <w:rtl/>
        </w:rPr>
        <w:t>,</w:t>
      </w:r>
      <w:r w:rsidRPr="00C324D0">
        <w:rPr>
          <w:rFonts w:ascii="David" w:hAnsi="David"/>
          <w:rtl/>
        </w:rPr>
        <w:t xml:space="preserve">בחר   שלא לבקש הזדמנות להסיר מחדליו </w:t>
      </w:r>
      <w:r w:rsidRPr="00C324D0">
        <w:rPr>
          <w:rFonts w:ascii="David" w:hAnsi="David"/>
        </w:rPr>
        <w:t xml:space="preserve"> </w:t>
      </w:r>
      <w:r w:rsidRPr="00C324D0">
        <w:rPr>
          <w:rFonts w:ascii="David" w:hAnsi="David"/>
          <w:rtl/>
        </w:rPr>
        <w:t xml:space="preserve">אלא לחדש בקשתו להבאת הסדר חוב </w:t>
      </w:r>
      <w:r w:rsidR="006221CB" w:rsidRPr="00C324D0">
        <w:rPr>
          <w:rFonts w:ascii="David" w:hAnsi="David" w:hint="cs"/>
          <w:rtl/>
        </w:rPr>
        <w:t xml:space="preserve"> כשהוא מבש את </w:t>
      </w:r>
      <w:r w:rsidRPr="00C324D0">
        <w:rPr>
          <w:rFonts w:ascii="David" w:hAnsi="David"/>
          <w:rtl/>
        </w:rPr>
        <w:t xml:space="preserve"> הותרת מחדלים קשים  חרף התנגדות הממונה   </w:t>
      </w:r>
      <w:r w:rsidR="006221CB" w:rsidRPr="00C324D0">
        <w:rPr>
          <w:rFonts w:ascii="David" w:hAnsi="David" w:hint="cs"/>
          <w:rtl/>
        </w:rPr>
        <w:t>.</w:t>
      </w:r>
      <w:r w:rsidRPr="00C324D0">
        <w:rPr>
          <w:rFonts w:ascii="David" w:hAnsi="David"/>
          <w:rtl/>
        </w:rPr>
        <w:t xml:space="preserve">  </w:t>
      </w:r>
    </w:p>
    <w:p w:rsidR="00824BE7" w:rsidRDefault="00824BE7" w:rsidP="00824BE7">
      <w:pPr>
        <w:numPr>
          <w:ilvl w:val="0"/>
          <w:numId w:val="1"/>
        </w:numPr>
        <w:ind w:hanging="531"/>
        <w:contextualSpacing/>
        <w:jc w:val="both"/>
        <w:rPr>
          <w:rFonts w:ascii="David" w:hAnsi="David"/>
        </w:rPr>
      </w:pPr>
      <w:r>
        <w:rPr>
          <w:rFonts w:ascii="David" w:hAnsi="David"/>
          <w:rtl/>
        </w:rPr>
        <w:t xml:space="preserve">להמחשת הנסיבות יוצגו פרטים נוספים . </w:t>
      </w:r>
    </w:p>
    <w:p w:rsidR="00824BE7" w:rsidRDefault="00824BE7" w:rsidP="00824BE7">
      <w:pPr>
        <w:pStyle w:val="ae"/>
        <w:spacing w:after="0" w:line="240" w:lineRule="auto"/>
        <w:rPr>
          <w:rFonts w:ascii="David" w:hAnsi="David" w:cs="David"/>
          <w:sz w:val="24"/>
          <w:szCs w:val="24"/>
        </w:rPr>
      </w:pPr>
      <w:r>
        <w:rPr>
          <w:rFonts w:ascii="David" w:hAnsi="David" w:cs="David"/>
          <w:sz w:val="24"/>
          <w:szCs w:val="24"/>
          <w:rtl/>
        </w:rPr>
        <w:t xml:space="preserve"> </w:t>
      </w:r>
    </w:p>
    <w:p w:rsidR="00824BE7" w:rsidRDefault="00824BE7" w:rsidP="00824BE7">
      <w:pPr>
        <w:pStyle w:val="3"/>
        <w:spacing w:line="240" w:lineRule="auto"/>
      </w:pPr>
      <w:bookmarkStart w:id="3" w:name="_Toc154422885"/>
      <w:r>
        <w:rPr>
          <w:rtl/>
        </w:rPr>
        <w:t xml:space="preserve">הצעת ממונה הנשענת על דוח ממצאים המצביע  על הפרה בוטה של תנאים  המצדיקה ביטול הליכים </w:t>
      </w:r>
      <w:r>
        <w:rPr>
          <w:rFonts w:hint="cs"/>
        </w:rPr>
        <w:t xml:space="preserve"> </w:t>
      </w:r>
      <w:r>
        <w:rPr>
          <w:rtl/>
        </w:rPr>
        <w:t>מכוח סעיף 183 לחוק</w:t>
      </w:r>
      <w:bookmarkEnd w:id="3"/>
      <w:r>
        <w:rPr>
          <w:rtl/>
        </w:rPr>
        <w:t xml:space="preserve"> </w:t>
      </w:r>
    </w:p>
    <w:p w:rsidR="00824BE7" w:rsidRDefault="00824BE7" w:rsidP="00824BE7">
      <w:pPr>
        <w:rPr>
          <w:rtl/>
        </w:rPr>
      </w:pPr>
    </w:p>
    <w:p w:rsidR="00824BE7" w:rsidRDefault="00824BE7" w:rsidP="00824BE7">
      <w:pPr>
        <w:numPr>
          <w:ilvl w:val="0"/>
          <w:numId w:val="1"/>
        </w:numPr>
        <w:ind w:hanging="531"/>
        <w:contextualSpacing/>
        <w:jc w:val="both"/>
        <w:rPr>
          <w:rFonts w:ascii="David" w:hAnsi="David"/>
        </w:rPr>
      </w:pPr>
      <w:r>
        <w:rPr>
          <w:rFonts w:ascii="David" w:hAnsi="David"/>
          <w:b/>
          <w:bCs/>
          <w:u w:val="single"/>
          <w:rtl/>
        </w:rPr>
        <w:t>הנאמן,</w:t>
      </w:r>
      <w:r>
        <w:rPr>
          <w:rFonts w:ascii="David" w:hAnsi="David"/>
          <w:rtl/>
        </w:rPr>
        <w:t xml:space="preserve">   ביום  24.9.23  ציין שבקופה כ2547 ₪  וכתב ב"סיכום " דו"ח ממצאים  מפורט גם  את הדברים הברורים הבאים :  "התנהלות היחיד מהווה הפרה בוטה של תנאי הצו לפתיחת הליכים. נראה שאין מנוס מלהורות על ביטולו" . הנאמן  כתב גם כי "למעט תשלומים בודדים  לקופה .... חרף התראות חוזרות ונשנות נמנע היחיד מלמלא אחר יתר חובות ההליכים וכלל זאת כלל לא הגיש דוחו"ת תקופתיים , צבר פיגורים גבוהים מאד ולא המציא את המסמכים שנדרש בהמשך לחקירה" </w:t>
      </w:r>
    </w:p>
    <w:p w:rsidR="00824BE7" w:rsidRDefault="00824BE7" w:rsidP="00824BE7">
      <w:pPr>
        <w:numPr>
          <w:ilvl w:val="0"/>
          <w:numId w:val="1"/>
        </w:numPr>
        <w:ind w:hanging="531"/>
        <w:contextualSpacing/>
        <w:jc w:val="both"/>
        <w:rPr>
          <w:rFonts w:ascii="David" w:hAnsi="David"/>
        </w:rPr>
      </w:pPr>
      <w:r>
        <w:rPr>
          <w:rFonts w:ascii="David" w:hAnsi="David"/>
          <w:b/>
          <w:bCs/>
          <w:rtl/>
        </w:rPr>
        <w:t xml:space="preserve"> </w:t>
      </w:r>
      <w:r>
        <w:rPr>
          <w:rFonts w:ascii="David" w:hAnsi="David"/>
          <w:rtl/>
        </w:rPr>
        <w:t xml:space="preserve">פרק הסיכום בדוח נשען על </w:t>
      </w:r>
      <w:r>
        <w:rPr>
          <w:rFonts w:ascii="David" w:hAnsi="David"/>
        </w:rPr>
        <w:t xml:space="preserve"> </w:t>
      </w:r>
      <w:r>
        <w:rPr>
          <w:rFonts w:ascii="David" w:hAnsi="David"/>
          <w:rtl/>
        </w:rPr>
        <w:t>סקירה מפורטת של מחדליו  ובין היתר כתב כי  היחיד לא המציא ולו מסמך אחד. הנאמן  הציג צורך בסדרת מסמכים  בנושאים קונקרטיים ובין היתר אישורי מסירה , (סעיף 1) מסמכים הקשורים לרכישת הדירה  ( סעיף 3) מסמכים לגבי ירושה ( סעיף 4) , אי הגשת דוחות הכנסות והוצאות   לצד הוצאות מופרזות</w:t>
      </w:r>
    </w:p>
    <w:p w:rsidR="00824BE7" w:rsidRDefault="00824BE7" w:rsidP="00824BE7">
      <w:pPr>
        <w:numPr>
          <w:ilvl w:val="0"/>
          <w:numId w:val="1"/>
        </w:numPr>
        <w:ind w:hanging="531"/>
        <w:contextualSpacing/>
        <w:jc w:val="both"/>
        <w:rPr>
          <w:rFonts w:ascii="David" w:hAnsi="David"/>
        </w:rPr>
      </w:pPr>
      <w:r>
        <w:rPr>
          <w:rFonts w:ascii="David" w:hAnsi="David"/>
          <w:rtl/>
        </w:rPr>
        <w:t xml:space="preserve">הדו"ח  אינו מפרט נסיבות אישיות שיש בהן חלילה, להצביע על נבצרות משיתוף פעולה כדוגמת מחלה קשה </w:t>
      </w:r>
      <w:r>
        <w:rPr>
          <w:rFonts w:ascii="David" w:hAnsi="David"/>
        </w:rPr>
        <w:t xml:space="preserve"> </w:t>
      </w:r>
      <w:r>
        <w:rPr>
          <w:rFonts w:ascii="David" w:hAnsi="David"/>
          <w:rtl/>
        </w:rPr>
        <w:t xml:space="preserve">.לגבי הנסיבות עולה בין היתר שמדובר ביחיד הנהנה משכירות של דירה  בשטח של 160 מ"ר ועוד 200 מטר חצר. עבור ההנאה ממנה משולמים דמי השכירות בסך  של  12000 ש"ח . ליחיד עשרות נושים   באופן קונקרטי </w:t>
      </w:r>
      <w:r>
        <w:rPr>
          <w:rFonts w:ascii="David" w:hAnsi="David"/>
          <w:b/>
          <w:bCs/>
          <w:rtl/>
        </w:rPr>
        <w:t>הוצהר על 38 נושים</w:t>
      </w:r>
      <w:r>
        <w:rPr>
          <w:rFonts w:ascii="David" w:hAnsi="David"/>
          <w:rtl/>
        </w:rPr>
        <w:t xml:space="preserve"> והוצהר על </w:t>
      </w:r>
      <w:r>
        <w:rPr>
          <w:rFonts w:ascii="David" w:hAnsi="David"/>
          <w:b/>
          <w:bCs/>
          <w:rtl/>
        </w:rPr>
        <w:t>חובות בשיעור</w:t>
      </w:r>
      <w:r>
        <w:rPr>
          <w:rFonts w:ascii="David" w:hAnsi="David"/>
          <w:b/>
          <w:bCs/>
        </w:rPr>
        <w:t xml:space="preserve"> </w:t>
      </w:r>
      <w:r>
        <w:rPr>
          <w:rFonts w:ascii="David" w:hAnsi="David"/>
          <w:b/>
          <w:bCs/>
          <w:rtl/>
        </w:rPr>
        <w:t xml:space="preserve">גבוה מאד של 2302464  </w:t>
      </w:r>
      <w:r>
        <w:rPr>
          <w:rFonts w:ascii="David" w:hAnsi="David"/>
          <w:rtl/>
        </w:rPr>
        <w:t>.בשלב זה, הוגשו תביעות חוב על סך של 1.5 מיליון ₪   ורב הנסתר על הנגלה  .</w:t>
      </w:r>
    </w:p>
    <w:p w:rsidR="00824BE7" w:rsidRDefault="00824BE7" w:rsidP="00824BE7">
      <w:pPr>
        <w:numPr>
          <w:ilvl w:val="0"/>
          <w:numId w:val="1"/>
        </w:numPr>
        <w:ind w:hanging="531"/>
        <w:contextualSpacing/>
        <w:jc w:val="both"/>
        <w:rPr>
          <w:rFonts w:ascii="David" w:hAnsi="David"/>
        </w:rPr>
      </w:pPr>
      <w:r>
        <w:rPr>
          <w:rFonts w:ascii="David" w:hAnsi="David"/>
          <w:b/>
          <w:bCs/>
          <w:rtl/>
        </w:rPr>
        <w:t xml:space="preserve"> </w:t>
      </w:r>
      <w:r>
        <w:rPr>
          <w:rFonts w:ascii="David" w:hAnsi="David" w:hint="cs"/>
          <w:b/>
          <w:bCs/>
          <w:u w:val="single"/>
          <w:rtl/>
        </w:rPr>
        <w:t>הממונה,</w:t>
      </w:r>
      <w:r>
        <w:rPr>
          <w:rFonts w:ascii="David" w:hAnsi="David" w:hint="cs"/>
          <w:b/>
          <w:bCs/>
          <w:rtl/>
        </w:rPr>
        <w:t xml:space="preserve"> </w:t>
      </w:r>
      <w:r>
        <w:rPr>
          <w:rFonts w:ascii="David" w:hAnsi="David"/>
          <w:rtl/>
        </w:rPr>
        <w:t xml:space="preserve">בהצעה מיום 12.11.23 המליץ  על ביטול ההליכים  .הממונה וטרח להדגיש שורת מחדלים ולהתייחס להשפעתם המסכלת על ההליך כשתיאר כי לא הגיש דוחות דו חודשיים על הכנסותיו והוצאות </w:t>
      </w:r>
      <w:r>
        <w:rPr>
          <w:rFonts w:ascii="David" w:hAnsi="David"/>
          <w:b/>
          <w:bCs/>
          <w:rtl/>
        </w:rPr>
        <w:t>בכך פוגע ביכולתו של   הנאמן</w:t>
      </w:r>
      <w:r>
        <w:rPr>
          <w:rFonts w:ascii="David" w:hAnsi="David"/>
          <w:rtl/>
        </w:rPr>
        <w:t xml:space="preserve"> </w:t>
      </w:r>
      <w:r>
        <w:rPr>
          <w:rFonts w:ascii="David" w:hAnsi="David"/>
          <w:b/>
          <w:bCs/>
          <w:rtl/>
        </w:rPr>
        <w:t>לפקח על התנהלותו הכלכלית " ,</w:t>
      </w:r>
      <w:r>
        <w:rPr>
          <w:rFonts w:ascii="David" w:hAnsi="David"/>
          <w:rtl/>
        </w:rPr>
        <w:t xml:space="preserve">לא המציא  לנאמן מסמכים אשר נדרש להעביר, הפר את צו תשלומים והוציא הוצאות גבוהות מאד בהם גם שכר דירה של 12000 ש"ח   </w:t>
      </w:r>
    </w:p>
    <w:p w:rsidR="00824BE7" w:rsidRDefault="00824BE7" w:rsidP="00824BE7">
      <w:pPr>
        <w:pStyle w:val="ae"/>
        <w:spacing w:after="0" w:line="240" w:lineRule="auto"/>
        <w:rPr>
          <w:rFonts w:ascii="David" w:hAnsi="David" w:cs="David"/>
          <w:sz w:val="24"/>
          <w:szCs w:val="24"/>
          <w:rtl/>
        </w:rPr>
      </w:pPr>
    </w:p>
    <w:p w:rsidR="00824BE7" w:rsidRDefault="00824BE7" w:rsidP="00824BE7">
      <w:pPr>
        <w:pStyle w:val="3"/>
        <w:spacing w:line="240" w:lineRule="auto"/>
        <w:rPr>
          <w:rtl/>
        </w:rPr>
      </w:pPr>
      <w:bookmarkStart w:id="4" w:name="_Toc154422886"/>
      <w:r>
        <w:rPr>
          <w:rtl/>
        </w:rPr>
        <w:t xml:space="preserve">בחירת יחיד לשוב להציע הסדר  חוב , בחלוף עיכוב הליכים  ארוך תוך סירוב לתיקון מחדלים </w:t>
      </w:r>
      <w:r>
        <w:rPr>
          <w:rFonts w:hint="cs"/>
        </w:rPr>
        <w:t xml:space="preserve"> </w:t>
      </w:r>
      <w:r>
        <w:rPr>
          <w:rtl/>
        </w:rPr>
        <w:t>והתנגדות הממונה כך</w:t>
      </w:r>
      <w:bookmarkEnd w:id="4"/>
      <w:r>
        <w:rPr>
          <w:rtl/>
        </w:rPr>
        <w:t xml:space="preserve">   </w:t>
      </w:r>
    </w:p>
    <w:p w:rsidR="00824BE7" w:rsidRDefault="00824BE7" w:rsidP="00824BE7">
      <w:pPr>
        <w:numPr>
          <w:ilvl w:val="0"/>
          <w:numId w:val="1"/>
        </w:numPr>
        <w:ind w:hanging="531"/>
        <w:contextualSpacing/>
        <w:jc w:val="both"/>
        <w:rPr>
          <w:rFonts w:ascii="David" w:hAnsi="David"/>
          <w:rtl/>
        </w:rPr>
      </w:pPr>
      <w:r>
        <w:rPr>
          <w:rFonts w:ascii="David" w:hAnsi="David"/>
          <w:b/>
          <w:bCs/>
          <w:u w:val="single"/>
          <w:rtl/>
        </w:rPr>
        <w:t>כאמור בפתיח היחיד</w:t>
      </w:r>
      <w:r>
        <w:rPr>
          <w:rFonts w:ascii="David" w:hAnsi="David"/>
          <w:rtl/>
        </w:rPr>
        <w:t xml:space="preserve">  בחר סמוך מאד לדיון  לחזור ולבקש להביא  הצעה להביא הסדר חוב לאישור נושים   שהוא כשלעצמו מעורפל  .   </w:t>
      </w:r>
    </w:p>
    <w:p w:rsidR="00824BE7" w:rsidRDefault="00824BE7" w:rsidP="00824BE7">
      <w:pPr>
        <w:numPr>
          <w:ilvl w:val="0"/>
          <w:numId w:val="1"/>
        </w:numPr>
        <w:ind w:hanging="531"/>
        <w:contextualSpacing/>
        <w:jc w:val="both"/>
        <w:rPr>
          <w:rFonts w:ascii="David" w:hAnsi="David"/>
        </w:rPr>
      </w:pPr>
      <w:r>
        <w:rPr>
          <w:rFonts w:ascii="David" w:hAnsi="David"/>
          <w:rtl/>
        </w:rPr>
        <w:t xml:space="preserve"> ביום 10.9.23 היחיד הגיש   הצעה לקונית  ראשונה . להסדר בגובה של 80,000 ש"ח  בה טען להזמנות להלוואה חד פעמית מהבן של אשתו . החלטה מיום  11.9.23 ציינה שלא צורפו תצהירים ומסמכים לתימוכין בפן העובדתי שביסודה. כלומר לא צורף תצהיר  של הבן ושל היחיד </w:t>
      </w:r>
    </w:p>
    <w:p w:rsidR="00824BE7" w:rsidRDefault="00824BE7" w:rsidP="00824BE7">
      <w:pPr>
        <w:numPr>
          <w:ilvl w:val="0"/>
          <w:numId w:val="1"/>
        </w:numPr>
        <w:ind w:hanging="531"/>
        <w:contextualSpacing/>
        <w:jc w:val="both"/>
        <w:rPr>
          <w:rFonts w:ascii="David" w:hAnsi="David"/>
          <w:sz w:val="12"/>
          <w:szCs w:val="12"/>
        </w:rPr>
      </w:pPr>
      <w:r>
        <w:rPr>
          <w:rFonts w:ascii="David" w:hAnsi="David"/>
          <w:rtl/>
        </w:rPr>
        <w:t xml:space="preserve"> ביום 29.11.23 </w:t>
      </w:r>
      <w:r>
        <w:rPr>
          <w:rFonts w:ascii="David" w:hAnsi="David"/>
        </w:rPr>
        <w:t xml:space="preserve"> </w:t>
      </w:r>
      <w:r>
        <w:rPr>
          <w:rFonts w:ascii="David" w:hAnsi="David"/>
          <w:rtl/>
        </w:rPr>
        <w:t xml:space="preserve"> רק לאחר הבעת עמדה נחרצת</w:t>
      </w:r>
      <w:r>
        <w:rPr>
          <w:rFonts w:ascii="David" w:hAnsi="David"/>
          <w:b/>
          <w:bCs/>
          <w:rtl/>
        </w:rPr>
        <w:t xml:space="preserve"> בעד ביטול הליכים</w:t>
      </w:r>
      <w:r>
        <w:rPr>
          <w:rFonts w:ascii="David" w:hAnsi="David"/>
          <w:rtl/>
        </w:rPr>
        <w:t xml:space="preserve"> </w:t>
      </w:r>
      <w:r>
        <w:rPr>
          <w:rFonts w:ascii="David" w:hAnsi="David"/>
        </w:rPr>
        <w:t xml:space="preserve"> </w:t>
      </w:r>
      <w:r>
        <w:rPr>
          <w:rFonts w:ascii="David" w:hAnsi="David"/>
          <w:rtl/>
        </w:rPr>
        <w:t xml:space="preserve">בחר היחיד לשוב ולהגיש הצעה שניה בסכום  זהה </w:t>
      </w:r>
    </w:p>
    <w:p w:rsidR="00824BE7" w:rsidRDefault="00824BE7" w:rsidP="00824BE7">
      <w:pPr>
        <w:numPr>
          <w:ilvl w:val="0"/>
          <w:numId w:val="1"/>
        </w:numPr>
        <w:ind w:hanging="531"/>
        <w:contextualSpacing/>
        <w:jc w:val="both"/>
        <w:rPr>
          <w:rFonts w:ascii="David" w:hAnsi="David"/>
        </w:rPr>
      </w:pPr>
      <w:r>
        <w:rPr>
          <w:rFonts w:ascii="David" w:hAnsi="David"/>
          <w:rtl/>
        </w:rPr>
        <w:t xml:space="preserve">בהמשך ביקש לפתע לשפר הצעתו ל"  200,000 </w:t>
      </w:r>
      <w:r>
        <w:rPr>
          <w:rFonts w:ascii="David" w:hAnsi="David"/>
        </w:rPr>
        <w:t xml:space="preserve"> </w:t>
      </w:r>
      <w:r>
        <w:rPr>
          <w:rFonts w:ascii="David" w:hAnsi="David"/>
          <w:rtl/>
        </w:rPr>
        <w:t xml:space="preserve">בלבד </w:t>
      </w:r>
      <w:r w:rsidR="006221CB">
        <w:rPr>
          <w:rFonts w:ascii="David" w:hAnsi="David" w:hint="cs"/>
          <w:rtl/>
        </w:rPr>
        <w:t xml:space="preserve">, </w:t>
      </w:r>
      <w:r>
        <w:rPr>
          <w:rFonts w:ascii="David" w:hAnsi="David"/>
          <w:rtl/>
        </w:rPr>
        <w:t xml:space="preserve">אולם  בשתי פעימות: א. הפעימה הראשונה- </w:t>
      </w:r>
      <w:r>
        <w:rPr>
          <w:rFonts w:ascii="David" w:hAnsi="David"/>
        </w:rPr>
        <w:t xml:space="preserve"> </w:t>
      </w:r>
      <w:r>
        <w:rPr>
          <w:rFonts w:ascii="David" w:hAnsi="David"/>
          <w:rtl/>
        </w:rPr>
        <w:t xml:space="preserve">בגובה 100,000 ₪ במועד אישור הסדר , ככל שיאושר ב. הפעימה השנייה - בסך 100,000 ₪ בתוך חצי שנה .    אגב בתחילה דבר קיום הצעה זאת עלה מהתייחסות הנאמן </w:t>
      </w:r>
      <w:r>
        <w:rPr>
          <w:rFonts w:ascii="David" w:hAnsi="David"/>
        </w:rPr>
        <w:t xml:space="preserve"> </w:t>
      </w:r>
      <w:r>
        <w:rPr>
          <w:rFonts w:ascii="David" w:hAnsi="David"/>
          <w:rtl/>
        </w:rPr>
        <w:t xml:space="preserve">מ11.12.23  ובהמשך ממסמך שהגיש היחיד ב20.11.23 </w:t>
      </w:r>
    </w:p>
    <w:p w:rsidR="00824BE7" w:rsidRDefault="00824BE7" w:rsidP="00824BE7">
      <w:pPr>
        <w:numPr>
          <w:ilvl w:val="0"/>
          <w:numId w:val="1"/>
        </w:numPr>
        <w:ind w:hanging="531"/>
        <w:contextualSpacing/>
        <w:jc w:val="both"/>
        <w:rPr>
          <w:rFonts w:ascii="David" w:hAnsi="David"/>
        </w:rPr>
      </w:pPr>
      <w:r>
        <w:rPr>
          <w:rFonts w:ascii="David" w:hAnsi="David"/>
          <w:rtl/>
        </w:rPr>
        <w:t xml:space="preserve">הצעת היחיד מעורפלת.  לא ראיתי פירוט המבהיר  את עצם השינוי בסכום המוצע   את עיתויה ואת שיעורה   ולא ברור  על יסוד מה הנחתו למקור מימון לפעימה השניה </w:t>
      </w:r>
    </w:p>
    <w:p w:rsidR="00824BE7" w:rsidRDefault="00824BE7" w:rsidP="00824BE7">
      <w:pPr>
        <w:numPr>
          <w:ilvl w:val="0"/>
          <w:numId w:val="1"/>
        </w:numPr>
        <w:ind w:hanging="531"/>
        <w:contextualSpacing/>
        <w:jc w:val="both"/>
        <w:rPr>
          <w:rFonts w:ascii="David" w:hAnsi="David"/>
        </w:rPr>
      </w:pPr>
      <w:r>
        <w:rPr>
          <w:rFonts w:ascii="David" w:hAnsi="David"/>
          <w:rtl/>
        </w:rPr>
        <w:t>היחיד  לא צירף תצהיר של הבן של אשתו וזאת  חרף החלטה מיום 11.9.23 שהתייחסה לתצהירים בלשון רבים</w:t>
      </w:r>
      <w:r w:rsidR="00C324D0">
        <w:rPr>
          <w:rFonts w:ascii="David" w:hAnsi="David" w:hint="cs"/>
          <w:rtl/>
        </w:rPr>
        <w:t>.</w:t>
      </w:r>
      <w:r>
        <w:rPr>
          <w:rFonts w:ascii="David" w:hAnsi="David"/>
          <w:rtl/>
        </w:rPr>
        <w:t xml:space="preserve"> </w:t>
      </w:r>
    </w:p>
    <w:p w:rsidR="00824BE7" w:rsidRDefault="00824BE7" w:rsidP="00824BE7">
      <w:pPr>
        <w:numPr>
          <w:ilvl w:val="0"/>
          <w:numId w:val="1"/>
        </w:numPr>
        <w:ind w:hanging="531"/>
        <w:contextualSpacing/>
        <w:jc w:val="both"/>
        <w:rPr>
          <w:rFonts w:ascii="David" w:hAnsi="David"/>
        </w:rPr>
      </w:pPr>
      <w:r>
        <w:rPr>
          <w:rFonts w:ascii="David" w:hAnsi="David"/>
        </w:rPr>
        <w:lastRenderedPageBreak/>
        <w:t xml:space="preserve"> </w:t>
      </w:r>
      <w:r>
        <w:rPr>
          <w:rFonts w:ascii="David" w:hAnsi="David"/>
          <w:u w:val="single"/>
          <w:rtl/>
        </w:rPr>
        <w:t xml:space="preserve"> </w:t>
      </w:r>
      <w:r>
        <w:rPr>
          <w:rFonts w:ascii="David" w:hAnsi="David" w:hint="cs"/>
          <w:u w:val="single"/>
          <w:rtl/>
        </w:rPr>
        <w:t xml:space="preserve"> להצעה  מ29.11.23 שהוגשה לאחר עמדת בעלי התפקיד בעד  הביטול </w:t>
      </w:r>
      <w:r>
        <w:rPr>
          <w:rFonts w:ascii="David" w:hAnsi="David"/>
          <w:rtl/>
        </w:rPr>
        <w:t xml:space="preserve">היחיד </w:t>
      </w:r>
      <w:r>
        <w:rPr>
          <w:rFonts w:ascii="David" w:hAnsi="David"/>
          <w:b/>
          <w:bCs/>
          <w:rtl/>
        </w:rPr>
        <w:t xml:space="preserve">לא צירף להצעתו אינדיקציה </w:t>
      </w:r>
      <w:r>
        <w:rPr>
          <w:rFonts w:ascii="David" w:hAnsi="David"/>
          <w:rtl/>
        </w:rPr>
        <w:t xml:space="preserve">להסרת מלוא מחדליו לרבות אלה הכרוכים באי מסירת מידע  </w:t>
      </w:r>
    </w:p>
    <w:p w:rsidR="00824BE7" w:rsidRPr="00EC7D1B" w:rsidRDefault="00824BE7" w:rsidP="00D66E7B">
      <w:pPr>
        <w:numPr>
          <w:ilvl w:val="0"/>
          <w:numId w:val="1"/>
        </w:numPr>
        <w:ind w:hanging="531"/>
        <w:contextualSpacing/>
        <w:jc w:val="both"/>
        <w:rPr>
          <w:rFonts w:ascii="David" w:hAnsi="David"/>
          <w:b/>
          <w:bCs/>
          <w:u w:val="single"/>
        </w:rPr>
      </w:pPr>
      <w:r w:rsidRPr="00EC7D1B">
        <w:rPr>
          <w:rFonts w:ascii="David" w:hAnsi="David"/>
          <w:rtl/>
        </w:rPr>
        <w:t xml:space="preserve"> בהמשך  עלה  </w:t>
      </w:r>
      <w:r w:rsidR="00D66E7B">
        <w:rPr>
          <w:rFonts w:ascii="David" w:hAnsi="David" w:hint="cs"/>
          <w:rtl/>
        </w:rPr>
        <w:t>מ</w:t>
      </w:r>
      <w:r w:rsidRPr="00EC7D1B">
        <w:rPr>
          <w:rFonts w:ascii="David" w:hAnsi="David"/>
          <w:rtl/>
        </w:rPr>
        <w:t>מסמך שה</w:t>
      </w:r>
      <w:r w:rsidR="00D66E7B">
        <w:rPr>
          <w:rFonts w:ascii="David" w:hAnsi="David" w:hint="cs"/>
          <w:rtl/>
        </w:rPr>
        <w:t>יחיד ה</w:t>
      </w:r>
      <w:r w:rsidRPr="00EC7D1B">
        <w:rPr>
          <w:rFonts w:ascii="David" w:hAnsi="David"/>
          <w:rtl/>
        </w:rPr>
        <w:t xml:space="preserve">גיש ביום 20.11.23 שהוא </w:t>
      </w:r>
      <w:r w:rsidRPr="00EC7D1B">
        <w:rPr>
          <w:rFonts w:ascii="David" w:hAnsi="David"/>
          <w:b/>
          <w:bCs/>
          <w:rtl/>
        </w:rPr>
        <w:t>מתנגד לתיקון</w:t>
      </w:r>
      <w:r w:rsidRPr="00EC7D1B">
        <w:rPr>
          <w:rFonts w:ascii="David" w:hAnsi="David"/>
          <w:rtl/>
        </w:rPr>
        <w:t xml:space="preserve"> מחדלים   ( סעיף 10) </w:t>
      </w:r>
      <w:r w:rsidR="00D66E7B">
        <w:rPr>
          <w:rFonts w:ascii="David" w:hAnsi="David" w:hint="cs"/>
          <w:rtl/>
        </w:rPr>
        <w:t xml:space="preserve">.כלומר, היחיד </w:t>
      </w:r>
      <w:r w:rsidRPr="00EC7D1B">
        <w:rPr>
          <w:rFonts w:ascii="David" w:hAnsi="David"/>
          <w:rtl/>
        </w:rPr>
        <w:t xml:space="preserve">מבקש להורות על  הבאת  הצעת ההסדר לאישור הנושים מבלי שיהיה עליו </w:t>
      </w:r>
      <w:r w:rsidRPr="00EC7D1B">
        <w:rPr>
          <w:rFonts w:ascii="David" w:hAnsi="David"/>
        </w:rPr>
        <w:t xml:space="preserve"> </w:t>
      </w:r>
      <w:r w:rsidRPr="00EC7D1B">
        <w:rPr>
          <w:rFonts w:ascii="David" w:hAnsi="David"/>
          <w:rtl/>
        </w:rPr>
        <w:t xml:space="preserve">לעמוד בכל דרישה נוספת למעט תשלום הצעת ההסדר  במועד המוסכם ככל שיוסכם  ( ס'  11) </w:t>
      </w:r>
      <w:r w:rsidR="00D66E7B">
        <w:rPr>
          <w:rFonts w:ascii="David" w:hAnsi="David" w:hint="cs"/>
          <w:rtl/>
        </w:rPr>
        <w:t>.</w:t>
      </w:r>
      <w:r w:rsidRPr="00EC7D1B">
        <w:rPr>
          <w:rFonts w:ascii="David" w:hAnsi="David"/>
          <w:rtl/>
        </w:rPr>
        <w:t>היחיד</w:t>
      </w:r>
      <w:r w:rsidR="00D66E7B">
        <w:rPr>
          <w:rFonts w:ascii="David" w:hAnsi="David" w:hint="cs"/>
          <w:rtl/>
        </w:rPr>
        <w:t>,</w:t>
      </w:r>
      <w:r w:rsidRPr="00EC7D1B">
        <w:rPr>
          <w:rFonts w:ascii="David" w:hAnsi="David"/>
          <w:rtl/>
        </w:rPr>
        <w:t xml:space="preserve"> סבר שדי בהתנהלותו זאת כדי להביא הצעתו לאישור בין היתר  מהסיבות האות</w:t>
      </w:r>
      <w:r w:rsidR="00D66E7B">
        <w:rPr>
          <w:rFonts w:ascii="David" w:hAnsi="David" w:hint="cs"/>
          <w:rtl/>
        </w:rPr>
        <w:t>:</w:t>
      </w:r>
      <w:r w:rsidRPr="00EC7D1B">
        <w:rPr>
          <w:rFonts w:ascii="David" w:hAnsi="David"/>
          <w:rtl/>
        </w:rPr>
        <w:t xml:space="preserve"> </w:t>
      </w:r>
      <w:r w:rsidRPr="00EC7D1B">
        <w:rPr>
          <w:rFonts w:ascii="David" w:hAnsi="David"/>
        </w:rPr>
        <w:t xml:space="preserve"> </w:t>
      </w:r>
      <w:r w:rsidRPr="00EC7D1B">
        <w:rPr>
          <w:rFonts w:ascii="David" w:hAnsi="David"/>
          <w:rtl/>
        </w:rPr>
        <w:t xml:space="preserve"> א. המדובר ב25% מגובה נומינאלי של חוב </w:t>
      </w:r>
      <w:r w:rsidR="00EC7D1B">
        <w:rPr>
          <w:rFonts w:ascii="David" w:hAnsi="David" w:hint="cs"/>
          <w:rtl/>
        </w:rPr>
        <w:t xml:space="preserve">של </w:t>
      </w:r>
      <w:r w:rsidRPr="00EC7D1B">
        <w:rPr>
          <w:rFonts w:ascii="David" w:hAnsi="David"/>
          <w:rtl/>
        </w:rPr>
        <w:t>מי שהגישו תביעות</w:t>
      </w:r>
      <w:r w:rsidR="00D66E7B">
        <w:rPr>
          <w:rFonts w:ascii="David" w:hAnsi="David" w:hint="cs"/>
          <w:rtl/>
        </w:rPr>
        <w:t xml:space="preserve"> </w:t>
      </w:r>
      <w:r w:rsidRPr="00EC7D1B">
        <w:rPr>
          <w:rFonts w:ascii="David" w:hAnsi="David"/>
          <w:rtl/>
        </w:rPr>
        <w:t xml:space="preserve"> ב.  הוא מבקש לקיים הסדר זה בעזרת הלוואה מהבן של אשתו כלומר ביצירת חוב חדש  ( אציין כי שדומה שלפי פרק א(2) דוח הממצאים המדובר במלווה שגר בבית הלווה</w:t>
      </w:r>
      <w:r w:rsidR="00D66E7B">
        <w:rPr>
          <w:rFonts w:ascii="David" w:hAnsi="David" w:hint="cs"/>
          <w:rtl/>
        </w:rPr>
        <w:t>)</w:t>
      </w:r>
      <w:r w:rsidRPr="00EC7D1B">
        <w:rPr>
          <w:rFonts w:ascii="David" w:hAnsi="David"/>
          <w:rtl/>
        </w:rPr>
        <w:t xml:space="preserve">  </w:t>
      </w:r>
    </w:p>
    <w:p w:rsidR="00824BE7" w:rsidRDefault="00824BE7" w:rsidP="00AB18E2">
      <w:pPr>
        <w:pStyle w:val="3"/>
        <w:spacing w:line="240" w:lineRule="auto"/>
        <w:rPr>
          <w:rtl/>
        </w:rPr>
      </w:pPr>
      <w:bookmarkStart w:id="5" w:name="_Toc154422887"/>
      <w:r>
        <w:rPr>
          <w:rtl/>
        </w:rPr>
        <w:t xml:space="preserve">עמדת הממונה </w:t>
      </w:r>
      <w:r w:rsidR="00AB18E2">
        <w:rPr>
          <w:rFonts w:hint="cs"/>
          <w:rtl/>
        </w:rPr>
        <w:t>לפיה במקרה זה על היחיד שביקש להציע הסדר חוב לתקן בראש וראשונה מחדליו</w:t>
      </w:r>
      <w:bookmarkEnd w:id="5"/>
      <w:r w:rsidR="00AB18E2">
        <w:rPr>
          <w:rFonts w:hint="cs"/>
          <w:rtl/>
        </w:rPr>
        <w:t xml:space="preserve"> </w:t>
      </w:r>
    </w:p>
    <w:p w:rsidR="00824BE7" w:rsidRDefault="00824BE7" w:rsidP="00824BE7">
      <w:pPr>
        <w:numPr>
          <w:ilvl w:val="0"/>
          <w:numId w:val="1"/>
        </w:numPr>
        <w:ind w:hanging="531"/>
        <w:contextualSpacing/>
        <w:jc w:val="both"/>
        <w:rPr>
          <w:rFonts w:ascii="David" w:hAnsi="David"/>
          <w:rtl/>
        </w:rPr>
      </w:pPr>
      <w:r>
        <w:rPr>
          <w:rFonts w:ascii="David" w:hAnsi="David"/>
          <w:b/>
          <w:bCs/>
          <w:u w:val="single"/>
          <w:rtl/>
        </w:rPr>
        <w:t>הנאמן,</w:t>
      </w:r>
      <w:r>
        <w:rPr>
          <w:rFonts w:ascii="David" w:hAnsi="David"/>
          <w:rtl/>
        </w:rPr>
        <w:t xml:space="preserve"> הגיב ביום 11.12.23  וציין בין היתר   שהתנהלות היחיד "מהווה הפרה בוטה  של תנאי הצו  לפתיחת הליכים " </w:t>
      </w:r>
      <w:r>
        <w:rPr>
          <w:rFonts w:ascii="David" w:hAnsi="David"/>
        </w:rPr>
        <w:t xml:space="preserve"> </w:t>
      </w:r>
      <w:r>
        <w:rPr>
          <w:rFonts w:ascii="David" w:hAnsi="David"/>
          <w:rtl/>
        </w:rPr>
        <w:t>( סעיף 6) ציין שהוא מתקשה לגבש עמדה אם המדובר בהצעה ראויה  אם לאו, לאור העדר שיתוף הפעולה מצד היחיד "( סעיף 9 סיפא") אף אם הוא סבור כי "מדובר בהצעה בסכום לא מבוטל שראוי להביאה לעמדת הנושים "( סעיף 9 רישא) כאשר יוחרגו מההסדר נושאים אשר "לגביהם לא יוצא אישור מסירה של הצו לפתיחת הליכים"  ( סעיף 12 )</w:t>
      </w:r>
    </w:p>
    <w:p w:rsidR="00824BE7" w:rsidRDefault="00824BE7" w:rsidP="00824BE7">
      <w:pPr>
        <w:numPr>
          <w:ilvl w:val="0"/>
          <w:numId w:val="1"/>
        </w:numPr>
        <w:ind w:hanging="531"/>
        <w:contextualSpacing/>
        <w:jc w:val="both"/>
        <w:rPr>
          <w:rFonts w:ascii="David" w:hAnsi="David"/>
        </w:rPr>
      </w:pPr>
      <w:r>
        <w:rPr>
          <w:rFonts w:ascii="David" w:hAnsi="David"/>
          <w:b/>
          <w:bCs/>
          <w:u w:val="single"/>
          <w:rtl/>
        </w:rPr>
        <w:t xml:space="preserve">הממונה </w:t>
      </w:r>
      <w:r>
        <w:rPr>
          <w:rFonts w:ascii="David" w:hAnsi="David"/>
          <w:rtl/>
        </w:rPr>
        <w:t xml:space="preserve">– אמנם  לא התנגד להנחת ההצעה בפני נושים לקבלת עמדתם אך התנה זאת בתנאי ברור וחד </w:t>
      </w:r>
      <w:r>
        <w:rPr>
          <w:rFonts w:ascii="David" w:hAnsi="David"/>
          <w:b/>
          <w:bCs/>
          <w:rtl/>
        </w:rPr>
        <w:t>"כי עליו להסיר כלל מחדליו עד למועד הדיון הקבוע בעניינו   בין אם תתקבל הצעתו להסדר על ידי נושיו ובין אם לאו"</w:t>
      </w:r>
    </w:p>
    <w:p w:rsidR="00824BE7" w:rsidRDefault="00824BE7" w:rsidP="00824BE7">
      <w:pPr>
        <w:ind w:left="501"/>
        <w:contextualSpacing/>
        <w:jc w:val="both"/>
        <w:rPr>
          <w:rFonts w:ascii="David" w:hAnsi="David"/>
        </w:rPr>
      </w:pPr>
      <w:r>
        <w:rPr>
          <w:rFonts w:ascii="David" w:hAnsi="David"/>
          <w:rtl/>
        </w:rPr>
        <w:t xml:space="preserve"> </w:t>
      </w:r>
    </w:p>
    <w:p w:rsidR="00824BE7" w:rsidRDefault="00824BE7" w:rsidP="00824BE7">
      <w:pPr>
        <w:contextualSpacing/>
        <w:jc w:val="both"/>
        <w:rPr>
          <w:rFonts w:ascii="David" w:hAnsi="David"/>
          <w:u w:val="single"/>
        </w:rPr>
      </w:pPr>
      <w:r>
        <w:rPr>
          <w:rFonts w:ascii="David" w:hAnsi="David"/>
          <w:u w:val="single"/>
          <w:rtl/>
        </w:rPr>
        <w:t xml:space="preserve">אי הסרת  מחדלים עד לדיון  ואף אי ביצוע כל מאמץ כדי להסירם בהמשך </w:t>
      </w:r>
      <w:r>
        <w:rPr>
          <w:rFonts w:ascii="David" w:hAnsi="David"/>
          <w:u w:val="single"/>
        </w:rPr>
        <w:t xml:space="preserve"> </w:t>
      </w:r>
      <w:r>
        <w:rPr>
          <w:rFonts w:ascii="David" w:hAnsi="David"/>
          <w:u w:val="single"/>
          <w:rtl/>
        </w:rPr>
        <w:t xml:space="preserve"> </w:t>
      </w:r>
    </w:p>
    <w:p w:rsidR="00824BE7" w:rsidRDefault="00824BE7" w:rsidP="00D66E7B">
      <w:pPr>
        <w:numPr>
          <w:ilvl w:val="0"/>
          <w:numId w:val="1"/>
        </w:numPr>
        <w:ind w:hanging="531"/>
        <w:contextualSpacing/>
        <w:jc w:val="both"/>
        <w:rPr>
          <w:rFonts w:ascii="David" w:hAnsi="David"/>
        </w:rPr>
      </w:pPr>
      <w:r>
        <w:rPr>
          <w:rFonts w:ascii="David" w:hAnsi="David"/>
          <w:rtl/>
        </w:rPr>
        <w:t>עד מועד הדיון לא הוגשה כל הודעה בדבר שיפור התנהלות  היחיד שעשה בהליכים כבתוך שלו  זאת חרף עמדת הממונה</w:t>
      </w:r>
      <w:r w:rsidR="00D66E7B">
        <w:rPr>
          <w:rFonts w:ascii="David" w:hAnsi="David" w:hint="cs"/>
          <w:rtl/>
        </w:rPr>
        <w:t>.</w:t>
      </w:r>
      <w:r>
        <w:rPr>
          <w:rFonts w:ascii="David" w:hAnsi="David"/>
        </w:rPr>
        <w:t xml:space="preserve"> </w:t>
      </w:r>
    </w:p>
    <w:p w:rsidR="003452D5" w:rsidRPr="00C324D0" w:rsidRDefault="006221CB" w:rsidP="006221CB">
      <w:pPr>
        <w:pStyle w:val="3"/>
        <w:rPr>
          <w:b/>
          <w:bCs/>
          <w:u w:val="single"/>
          <w:rtl/>
        </w:rPr>
      </w:pPr>
      <w:bookmarkStart w:id="6" w:name="_Toc154422888"/>
      <w:r w:rsidRPr="00C324D0">
        <w:rPr>
          <w:rFonts w:hint="cs"/>
          <w:b/>
          <w:bCs/>
          <w:u w:val="single"/>
          <w:rtl/>
        </w:rPr>
        <w:t>בדיון</w:t>
      </w:r>
      <w:bookmarkEnd w:id="6"/>
    </w:p>
    <w:p w:rsidR="006221CB" w:rsidRDefault="006221CB" w:rsidP="003452D5">
      <w:pPr>
        <w:rPr>
          <w:rFonts w:cs="Times New Roman"/>
          <w:noProof w:val="0"/>
          <w:sz w:val="20"/>
          <w:szCs w:val="20"/>
        </w:rPr>
      </w:pPr>
    </w:p>
    <w:p w:rsidR="00C011FF" w:rsidRDefault="006221CB" w:rsidP="00C011FF">
      <w:pPr>
        <w:numPr>
          <w:ilvl w:val="0"/>
          <w:numId w:val="1"/>
        </w:numPr>
        <w:ind w:hanging="531"/>
        <w:contextualSpacing/>
        <w:jc w:val="both"/>
        <w:rPr>
          <w:rFonts w:ascii="David" w:hAnsi="David"/>
        </w:rPr>
      </w:pPr>
      <w:r>
        <w:rPr>
          <w:rFonts w:ascii="David" w:hAnsi="David" w:hint="cs"/>
          <w:rtl/>
        </w:rPr>
        <w:t>בדיון, לובנו</w:t>
      </w:r>
      <w:r w:rsidR="00C011FF">
        <w:rPr>
          <w:rFonts w:ascii="David" w:hAnsi="David" w:hint="cs"/>
          <w:rtl/>
        </w:rPr>
        <w:t xml:space="preserve"> </w:t>
      </w:r>
      <w:r w:rsidR="00C011FF">
        <w:rPr>
          <w:rFonts w:ascii="David" w:hAnsi="David" w:hint="cs"/>
        </w:rPr>
        <w:t xml:space="preserve"> </w:t>
      </w:r>
      <w:r w:rsidR="00C011FF">
        <w:rPr>
          <w:rFonts w:ascii="David" w:hAnsi="David" w:hint="cs"/>
          <w:rtl/>
        </w:rPr>
        <w:t>נקודות מסוימות הנוגעות להתנהלות לעיל</w:t>
      </w:r>
    </w:p>
    <w:p w:rsidR="006221CB" w:rsidRDefault="006221CB" w:rsidP="001D5BCA">
      <w:pPr>
        <w:numPr>
          <w:ilvl w:val="0"/>
          <w:numId w:val="1"/>
        </w:numPr>
        <w:ind w:hanging="531"/>
        <w:contextualSpacing/>
        <w:jc w:val="both"/>
        <w:rPr>
          <w:rFonts w:ascii="David" w:hAnsi="David"/>
        </w:rPr>
      </w:pPr>
      <w:r>
        <w:rPr>
          <w:rFonts w:ascii="David" w:hAnsi="David" w:hint="cs"/>
          <w:rtl/>
        </w:rPr>
        <w:t xml:space="preserve"> </w:t>
      </w:r>
      <w:r w:rsidR="003452D5">
        <w:rPr>
          <w:rFonts w:ascii="David" w:hAnsi="David"/>
          <w:rtl/>
        </w:rPr>
        <w:t xml:space="preserve">הנאמן ציין שהצעה </w:t>
      </w:r>
      <w:r>
        <w:rPr>
          <w:rFonts w:ascii="David" w:hAnsi="David" w:hint="cs"/>
          <w:rtl/>
        </w:rPr>
        <w:t xml:space="preserve"> של היחיד </w:t>
      </w:r>
      <w:r w:rsidR="003452D5">
        <w:rPr>
          <w:rFonts w:ascii="David" w:hAnsi="David"/>
          <w:rtl/>
        </w:rPr>
        <w:t>נמוכה מדי</w:t>
      </w:r>
      <w:r w:rsidR="001B4E16">
        <w:rPr>
          <w:rFonts w:ascii="David" w:hAnsi="David" w:hint="cs"/>
          <w:rtl/>
        </w:rPr>
        <w:t xml:space="preserve"> </w:t>
      </w:r>
      <w:r w:rsidR="003452D5">
        <w:rPr>
          <w:rFonts w:ascii="David" w:hAnsi="David"/>
          <w:rtl/>
        </w:rPr>
        <w:t xml:space="preserve"> </w:t>
      </w:r>
      <w:r w:rsidR="001D5BCA">
        <w:rPr>
          <w:rFonts w:ascii="David" w:hAnsi="David" w:hint="cs"/>
          <w:rtl/>
        </w:rPr>
        <w:t xml:space="preserve">ואת לאחר שכבר עשה בירור לגופו מול </w:t>
      </w:r>
      <w:r w:rsidR="00D66E7B">
        <w:rPr>
          <w:rFonts w:ascii="David" w:hAnsi="David" w:hint="cs"/>
          <w:rtl/>
        </w:rPr>
        <w:t>ה</w:t>
      </w:r>
      <w:r w:rsidR="001D5BCA">
        <w:rPr>
          <w:rFonts w:ascii="David" w:hAnsi="David" w:hint="cs"/>
          <w:rtl/>
        </w:rPr>
        <w:t xml:space="preserve">נושה מ.ע.מ </w:t>
      </w:r>
      <w:r>
        <w:rPr>
          <w:rFonts w:ascii="David" w:hAnsi="David" w:hint="cs"/>
          <w:rtl/>
        </w:rPr>
        <w:t xml:space="preserve"> </w:t>
      </w:r>
      <w:r w:rsidR="00C011FF">
        <w:rPr>
          <w:rFonts w:ascii="David" w:hAnsi="David" w:hint="cs"/>
          <w:rtl/>
        </w:rPr>
        <w:t xml:space="preserve">ובכל מקרה הסכים שיש לדחותה משום </w:t>
      </w:r>
      <w:r w:rsidR="00D66E7B">
        <w:rPr>
          <w:rFonts w:ascii="David" w:hAnsi="David" w:hint="cs"/>
          <w:rtl/>
        </w:rPr>
        <w:t>שה</w:t>
      </w:r>
      <w:r w:rsidR="00C011FF">
        <w:rPr>
          <w:rFonts w:ascii="David" w:hAnsi="David" w:hint="cs"/>
          <w:rtl/>
        </w:rPr>
        <w:t xml:space="preserve">מדובר בנטילת הלוואה חדשה ( כבר בפעימה הראשונה)  </w:t>
      </w:r>
    </w:p>
    <w:p w:rsidR="003452D5" w:rsidRDefault="006221CB" w:rsidP="00C011FF">
      <w:pPr>
        <w:numPr>
          <w:ilvl w:val="0"/>
          <w:numId w:val="1"/>
        </w:numPr>
        <w:ind w:hanging="531"/>
        <w:contextualSpacing/>
        <w:jc w:val="both"/>
        <w:rPr>
          <w:rFonts w:ascii="David" w:hAnsi="David"/>
        </w:rPr>
      </w:pPr>
      <w:r>
        <w:rPr>
          <w:rFonts w:ascii="David" w:hAnsi="David" w:hint="cs"/>
        </w:rPr>
        <w:t xml:space="preserve"> </w:t>
      </w:r>
      <w:r w:rsidR="00C011FF">
        <w:rPr>
          <w:rFonts w:ascii="David" w:hAnsi="David" w:hint="cs"/>
          <w:rtl/>
        </w:rPr>
        <w:t>הממונה</w:t>
      </w:r>
      <w:r w:rsidR="001D5BCA">
        <w:rPr>
          <w:rFonts w:ascii="David" w:hAnsi="David" w:hint="cs"/>
          <w:rtl/>
        </w:rPr>
        <w:t>,</w:t>
      </w:r>
      <w:r w:rsidR="00C011FF">
        <w:rPr>
          <w:rFonts w:ascii="David" w:hAnsi="David" w:hint="cs"/>
          <w:rtl/>
        </w:rPr>
        <w:t xml:space="preserve"> שכאמור מלכתחילה גרס שיש לבטל הליכים הסכים גם לנימוק שלפיו שאין מקום לצרף בקשה להסדר על בסיס נטילת הלוואה ולטעמו גם תתכן רלבנטיות לזהות המלווה </w:t>
      </w:r>
    </w:p>
    <w:p w:rsidR="003452D5" w:rsidRDefault="003452D5" w:rsidP="00C011FF">
      <w:pPr>
        <w:numPr>
          <w:ilvl w:val="0"/>
          <w:numId w:val="1"/>
        </w:numPr>
        <w:ind w:hanging="531"/>
        <w:contextualSpacing/>
        <w:jc w:val="both"/>
        <w:rPr>
          <w:rFonts w:ascii="David" w:hAnsi="David"/>
        </w:rPr>
      </w:pPr>
      <w:r>
        <w:rPr>
          <w:rFonts w:ascii="David" w:hAnsi="David"/>
          <w:rtl/>
        </w:rPr>
        <w:t>ב"כ היחיד – לא חלק על כך שהיחיד לא עמד ב</w:t>
      </w:r>
      <w:r w:rsidR="00C011FF">
        <w:rPr>
          <w:rFonts w:ascii="David" w:hAnsi="David" w:hint="cs"/>
          <w:rtl/>
        </w:rPr>
        <w:t>תנאי ההליך ובתחילה טען שהצעה באה מהנאמן אך בהקשר לכך הופנה לסעיף במסמך שהוגש בדם היחיד המתייחס ל"הצעה הכוללת שלו"</w:t>
      </w:r>
    </w:p>
    <w:p w:rsidR="00824BE7" w:rsidRDefault="00824BE7" w:rsidP="00C324D0">
      <w:pPr>
        <w:pStyle w:val="2"/>
        <w:spacing w:line="240" w:lineRule="auto"/>
        <w:rPr>
          <w:b/>
          <w:bCs/>
          <w:u w:val="single"/>
          <w:rtl/>
        </w:rPr>
      </w:pPr>
      <w:bookmarkStart w:id="7" w:name="_Toc154422889"/>
      <w:r>
        <w:rPr>
          <w:b/>
          <w:bCs/>
          <w:u w:val="single"/>
          <w:rtl/>
        </w:rPr>
        <w:t>ג.</w:t>
      </w:r>
      <w:r w:rsidR="00C324D0">
        <w:rPr>
          <w:rFonts w:hint="cs"/>
          <w:b/>
          <w:bCs/>
          <w:u w:val="single"/>
          <w:rtl/>
        </w:rPr>
        <w:t xml:space="preserve"> ה</w:t>
      </w:r>
      <w:r>
        <w:rPr>
          <w:b/>
          <w:bCs/>
          <w:u w:val="single"/>
          <w:rtl/>
        </w:rPr>
        <w:t>חלטה</w:t>
      </w:r>
      <w:bookmarkEnd w:id="7"/>
      <w:r>
        <w:rPr>
          <w:b/>
          <w:bCs/>
          <w:u w:val="single"/>
          <w:rtl/>
        </w:rPr>
        <w:t xml:space="preserve"> </w:t>
      </w:r>
    </w:p>
    <w:p w:rsidR="00824BE7" w:rsidRDefault="00824BE7" w:rsidP="00824BE7">
      <w:pPr>
        <w:numPr>
          <w:ilvl w:val="0"/>
          <w:numId w:val="1"/>
        </w:numPr>
        <w:ind w:hanging="531"/>
        <w:contextualSpacing/>
        <w:jc w:val="both"/>
        <w:rPr>
          <w:rFonts w:ascii="David" w:hAnsi="David"/>
          <w:rtl/>
        </w:rPr>
      </w:pPr>
      <w:r>
        <w:rPr>
          <w:rFonts w:ascii="David" w:hAnsi="David"/>
          <w:rtl/>
        </w:rPr>
        <w:t xml:space="preserve">על יסוד המצוי בפני בשלב זה ,ראיתי לאמץ את עמדת הממונה  ולבטל את ההליכים לפי סעיף 183 </w:t>
      </w:r>
      <w:r>
        <w:rPr>
          <w:rFonts w:ascii="David" w:hAnsi="David"/>
          <w:b/>
          <w:bCs/>
          <w:rtl/>
        </w:rPr>
        <w:t>לחוק חדלות פירעון ושיקום כלכלי התשע"ח 2</w:t>
      </w:r>
      <w:r>
        <w:rPr>
          <w:rFonts w:ascii="David" w:hAnsi="David"/>
          <w:rtl/>
        </w:rPr>
        <w:t xml:space="preserve">018 </w:t>
      </w:r>
      <w:r>
        <w:rPr>
          <w:rFonts w:ascii="David" w:hAnsi="David"/>
        </w:rPr>
        <w:t xml:space="preserve"> </w:t>
      </w:r>
      <w:r>
        <w:rPr>
          <w:rFonts w:ascii="David" w:hAnsi="David"/>
          <w:rtl/>
        </w:rPr>
        <w:t xml:space="preserve">  ( לעיל ולהלן:"</w:t>
      </w:r>
      <w:r>
        <w:rPr>
          <w:rFonts w:ascii="David" w:hAnsi="David"/>
          <w:b/>
          <w:bCs/>
          <w:rtl/>
        </w:rPr>
        <w:t>החוק</w:t>
      </w:r>
      <w:r>
        <w:rPr>
          <w:rFonts w:ascii="David" w:hAnsi="David"/>
          <w:rtl/>
        </w:rPr>
        <w:t>")</w:t>
      </w:r>
      <w:r>
        <w:rPr>
          <w:rFonts w:ascii="David" w:hAnsi="David"/>
        </w:rPr>
        <w:t xml:space="preserve"> </w:t>
      </w:r>
      <w:r>
        <w:rPr>
          <w:rFonts w:ascii="David" w:hAnsi="David"/>
          <w:rtl/>
        </w:rPr>
        <w:t xml:space="preserve"> </w:t>
      </w:r>
    </w:p>
    <w:p w:rsidR="006221CB" w:rsidRPr="001D5BCA" w:rsidRDefault="006221CB" w:rsidP="005E51CD">
      <w:pPr>
        <w:numPr>
          <w:ilvl w:val="0"/>
          <w:numId w:val="1"/>
        </w:numPr>
        <w:ind w:hanging="531"/>
        <w:contextualSpacing/>
        <w:jc w:val="both"/>
        <w:rPr>
          <w:rFonts w:ascii="David" w:hAnsi="David"/>
        </w:rPr>
      </w:pPr>
      <w:r w:rsidRPr="00C011FF">
        <w:rPr>
          <w:rFonts w:ascii="David" w:hAnsi="David" w:hint="cs"/>
          <w:rtl/>
        </w:rPr>
        <w:t xml:space="preserve">אפתח ואציין שלמעשה לא נותרה מחלוקת בין בעלי </w:t>
      </w:r>
      <w:r w:rsidRPr="001D5BCA">
        <w:rPr>
          <w:rFonts w:ascii="David" w:hAnsi="David" w:hint="cs"/>
          <w:rtl/>
        </w:rPr>
        <w:t>התפקיד וכי שניהם כאחד סבורים שלא ניתן בשלב זה ל</w:t>
      </w:r>
      <w:r w:rsidR="005E51CD" w:rsidRPr="001D5BCA">
        <w:rPr>
          <w:rFonts w:ascii="David" w:hAnsi="David" w:hint="cs"/>
          <w:rtl/>
        </w:rPr>
        <w:t xml:space="preserve">אשר </w:t>
      </w:r>
      <w:r w:rsidRPr="001D5BCA">
        <w:rPr>
          <w:rFonts w:ascii="David" w:hAnsi="David" w:hint="cs"/>
          <w:rtl/>
        </w:rPr>
        <w:t>את הצעת היחיד.</w:t>
      </w:r>
      <w:r w:rsidR="005E51CD" w:rsidRPr="001D5BCA">
        <w:rPr>
          <w:rFonts w:ascii="David" w:hAnsi="David" w:hint="cs"/>
        </w:rPr>
        <w:t xml:space="preserve"> </w:t>
      </w:r>
    </w:p>
    <w:p w:rsidR="00824BE7" w:rsidRDefault="005E51CD" w:rsidP="003A3A44">
      <w:pPr>
        <w:numPr>
          <w:ilvl w:val="0"/>
          <w:numId w:val="1"/>
        </w:numPr>
        <w:ind w:hanging="531"/>
        <w:contextualSpacing/>
        <w:jc w:val="both"/>
        <w:rPr>
          <w:rFonts w:cs="Times New Roman"/>
          <w:sz w:val="20"/>
          <w:szCs w:val="20"/>
        </w:rPr>
      </w:pPr>
      <w:r>
        <w:rPr>
          <w:rFonts w:ascii="David" w:hAnsi="David" w:hint="cs"/>
          <w:rtl/>
        </w:rPr>
        <w:t>מעבר לכך ראיתי קושי מובהק בסברה שניתן לאפש</w:t>
      </w:r>
      <w:r w:rsidR="00824BE7">
        <w:rPr>
          <w:rFonts w:ascii="David" w:hAnsi="David"/>
          <w:rtl/>
        </w:rPr>
        <w:t>ר ליחיד להשתמש בהליך  כרצונו , כאילו המדובר בתכנית  שהיא רק לבקשתו לי</w:t>
      </w:r>
      <w:r>
        <w:rPr>
          <w:rFonts w:ascii="David" w:hAnsi="David" w:hint="cs"/>
          <w:rtl/>
        </w:rPr>
        <w:t>ה</w:t>
      </w:r>
      <w:r w:rsidR="00824BE7">
        <w:rPr>
          <w:rFonts w:ascii="David" w:hAnsi="David"/>
          <w:rtl/>
        </w:rPr>
        <w:t xml:space="preserve">נות מזכויות להתעלם במופגן  מחובותיו בהליך ותוך ביצוע  מחדליו המסכלים  קבלת מידע  ההכרחי לבירור פוטנציאל הפירעון לעשרות נושים  . לא די בבקשה  שהגיש בשלב זה לאשר הסדר מעורפל הכרוך ביצירת חובות חדשים בלא לפרט את כל המידע הדרוש לשם קבלת החלטה לגבי </w:t>
      </w:r>
      <w:r w:rsidR="003A3A44">
        <w:rPr>
          <w:rFonts w:ascii="David" w:hAnsi="David" w:hint="cs"/>
          <w:rtl/>
        </w:rPr>
        <w:t>האישור.</w:t>
      </w:r>
    </w:p>
    <w:p w:rsidR="00824BE7" w:rsidRDefault="00824BE7" w:rsidP="00C324D0">
      <w:pPr>
        <w:pStyle w:val="2"/>
        <w:spacing w:line="240" w:lineRule="auto"/>
        <w:rPr>
          <w:b/>
          <w:bCs/>
          <w:u w:val="single"/>
          <w:rtl/>
        </w:rPr>
      </w:pPr>
      <w:bookmarkStart w:id="8" w:name="_Toc154422890"/>
      <w:r>
        <w:rPr>
          <w:b/>
          <w:bCs/>
          <w:u w:val="single"/>
          <w:rtl/>
        </w:rPr>
        <w:t>ד</w:t>
      </w:r>
      <w:r w:rsidR="00C324D0">
        <w:rPr>
          <w:rFonts w:hint="cs"/>
          <w:b/>
          <w:bCs/>
          <w:u w:val="single"/>
          <w:rtl/>
        </w:rPr>
        <w:t>.</w:t>
      </w:r>
      <w:r>
        <w:rPr>
          <w:b/>
          <w:bCs/>
          <w:u w:val="single"/>
          <w:rtl/>
        </w:rPr>
        <w:t xml:space="preserve"> </w:t>
      </w:r>
      <w:r w:rsidR="00C324D0">
        <w:rPr>
          <w:rFonts w:hint="cs"/>
          <w:b/>
          <w:bCs/>
          <w:u w:val="single"/>
          <w:rtl/>
        </w:rPr>
        <w:t xml:space="preserve"> </w:t>
      </w:r>
      <w:r>
        <w:rPr>
          <w:b/>
          <w:bCs/>
          <w:u w:val="single"/>
          <w:rtl/>
        </w:rPr>
        <w:t>תמצית הנימוקים</w:t>
      </w:r>
      <w:bookmarkEnd w:id="8"/>
      <w:r>
        <w:rPr>
          <w:b/>
          <w:bCs/>
          <w:u w:val="single"/>
          <w:rtl/>
        </w:rPr>
        <w:t xml:space="preserve"> </w:t>
      </w:r>
    </w:p>
    <w:p w:rsidR="00824BE7" w:rsidRDefault="00824BE7" w:rsidP="00824BE7">
      <w:pPr>
        <w:numPr>
          <w:ilvl w:val="0"/>
          <w:numId w:val="1"/>
        </w:numPr>
        <w:ind w:hanging="531"/>
        <w:contextualSpacing/>
        <w:jc w:val="both"/>
        <w:rPr>
          <w:rFonts w:ascii="David" w:hAnsi="David"/>
        </w:rPr>
      </w:pPr>
      <w:r>
        <w:rPr>
          <w:rFonts w:ascii="David" w:hAnsi="David"/>
          <w:rtl/>
        </w:rPr>
        <w:t>להלן אתייחס לתמצית הנימוקים להחלטה :</w:t>
      </w:r>
    </w:p>
    <w:p w:rsidR="00824BE7" w:rsidRDefault="00824BE7" w:rsidP="00824BE7">
      <w:pPr>
        <w:numPr>
          <w:ilvl w:val="0"/>
          <w:numId w:val="1"/>
        </w:numPr>
        <w:ind w:hanging="531"/>
        <w:contextualSpacing/>
        <w:jc w:val="both"/>
        <w:rPr>
          <w:rFonts w:ascii="David" w:hAnsi="David"/>
        </w:rPr>
      </w:pPr>
      <w:r>
        <w:rPr>
          <w:rFonts w:ascii="David" w:hAnsi="David"/>
          <w:u w:val="single"/>
          <w:rtl/>
        </w:rPr>
        <w:t>ראשית,</w:t>
      </w:r>
      <w:r>
        <w:rPr>
          <w:rFonts w:ascii="David" w:hAnsi="David"/>
          <w:rtl/>
        </w:rPr>
        <w:t xml:space="preserve"> וממעוף ציפור  אציין שנקודת המוצא היא במסגרת הנורמטיבית  החקוקה </w:t>
      </w:r>
      <w:r>
        <w:rPr>
          <w:rFonts w:ascii="David" w:hAnsi="David"/>
          <w:b/>
          <w:bCs/>
          <w:rtl/>
        </w:rPr>
        <w:t xml:space="preserve">לחוק חדלות פירעון ושיקום כלכלי </w:t>
      </w:r>
      <w:r>
        <w:rPr>
          <w:rFonts w:ascii="David" w:hAnsi="David"/>
          <w:rtl/>
        </w:rPr>
        <w:t xml:space="preserve">התשע"ח 2018  ( להלן:"החוק") ובגדרה אפנה בראש וראשונה לסעיפים 183 ו ו321 322 </w:t>
      </w:r>
      <w:r>
        <w:rPr>
          <w:rFonts w:ascii="David" w:hAnsi="David"/>
          <w:b/>
          <w:bCs/>
          <w:rtl/>
        </w:rPr>
        <w:t xml:space="preserve">לחוק חדלות פירעון ושיקום כלכלי </w:t>
      </w:r>
      <w:r>
        <w:rPr>
          <w:rFonts w:ascii="David" w:hAnsi="David"/>
          <w:rtl/>
        </w:rPr>
        <w:t>התשע"ח 2018  ( להלן:"החוק")</w:t>
      </w:r>
    </w:p>
    <w:p w:rsidR="00824BE7" w:rsidRDefault="00824BE7" w:rsidP="00824BE7">
      <w:pPr>
        <w:numPr>
          <w:ilvl w:val="0"/>
          <w:numId w:val="1"/>
        </w:numPr>
        <w:ind w:hanging="531"/>
        <w:contextualSpacing/>
        <w:jc w:val="both"/>
        <w:rPr>
          <w:rFonts w:ascii="David" w:hAnsi="David"/>
          <w:b/>
          <w:bCs/>
        </w:rPr>
      </w:pPr>
      <w:r>
        <w:rPr>
          <w:rFonts w:ascii="David" w:hAnsi="David"/>
        </w:rPr>
        <w:lastRenderedPageBreak/>
        <w:t xml:space="preserve"> </w:t>
      </w:r>
      <w:r>
        <w:rPr>
          <w:rFonts w:ascii="David" w:hAnsi="David"/>
          <w:rtl/>
        </w:rPr>
        <w:t xml:space="preserve">במקרה זה  היחיד  אוחז פתע  "כמוצא שלל רב" בסעיף 322 כדי להתגבר על סעיף 183   למסגרת החקוקה רלבנטיים גם עקרונות היסוד </w:t>
      </w:r>
      <w:r>
        <w:rPr>
          <w:rFonts w:ascii="David" w:hAnsi="David"/>
        </w:rPr>
        <w:t xml:space="preserve"> </w:t>
      </w:r>
      <w:r>
        <w:rPr>
          <w:rFonts w:ascii="David" w:hAnsi="David"/>
          <w:b/>
          <w:bCs/>
          <w:rtl/>
        </w:rPr>
        <w:t>תקנות סדר הדין האזרחי</w:t>
      </w:r>
      <w:r>
        <w:rPr>
          <w:rFonts w:ascii="David" w:hAnsi="David"/>
          <w:rtl/>
        </w:rPr>
        <w:t xml:space="preserve">, תשע"ט-2018 החלות ב אופן משלים על </w:t>
      </w:r>
      <w:r>
        <w:rPr>
          <w:rFonts w:ascii="David" w:hAnsi="David"/>
          <w:b/>
          <w:bCs/>
          <w:rtl/>
        </w:rPr>
        <w:t>תקנות חדלות פירעון</w:t>
      </w:r>
      <w:r>
        <w:rPr>
          <w:rFonts w:ascii="Arial" w:hAnsi="Arial" w:cs="Arial"/>
          <w:b/>
          <w:bCs/>
          <w:color w:val="222222"/>
          <w:rtl/>
        </w:rPr>
        <w:t xml:space="preserve"> .</w:t>
      </w:r>
    </w:p>
    <w:p w:rsidR="00824BE7" w:rsidRDefault="00824BE7" w:rsidP="00824BE7">
      <w:pPr>
        <w:contextualSpacing/>
        <w:jc w:val="both"/>
        <w:rPr>
          <w:rFonts w:ascii="David" w:hAnsi="David"/>
          <w:u w:val="single"/>
        </w:rPr>
      </w:pPr>
      <w:r>
        <w:rPr>
          <w:rFonts w:ascii="David" w:hAnsi="David"/>
          <w:u w:val="single"/>
          <w:rtl/>
        </w:rPr>
        <w:t xml:space="preserve"> </w:t>
      </w:r>
      <w:r>
        <w:rPr>
          <w:rFonts w:ascii="David" w:hAnsi="David" w:hint="cs"/>
          <w:u w:val="single"/>
          <w:rtl/>
        </w:rPr>
        <w:t xml:space="preserve">ליחיד אין זכות לפגוע באופן מהותי בהליך </w:t>
      </w:r>
    </w:p>
    <w:p w:rsidR="00824BE7" w:rsidRDefault="00824BE7" w:rsidP="00824BE7">
      <w:pPr>
        <w:numPr>
          <w:ilvl w:val="0"/>
          <w:numId w:val="1"/>
        </w:numPr>
        <w:ind w:hanging="531"/>
        <w:contextualSpacing/>
        <w:jc w:val="both"/>
        <w:rPr>
          <w:rFonts w:ascii="David" w:hAnsi="David"/>
          <w:rtl/>
        </w:rPr>
      </w:pPr>
      <w:r>
        <w:rPr>
          <w:rFonts w:ascii="David" w:hAnsi="David"/>
          <w:b/>
          <w:bCs/>
          <w:rtl/>
        </w:rPr>
        <w:t xml:space="preserve">שנית, כדי להמחיש את הדברים שלפיהם היחיד אינו רשאי לעשות בהליך כבתוך שלו אציין    אפנה מבט לס' 183  </w:t>
      </w:r>
      <w:r>
        <w:rPr>
          <w:rFonts w:ascii="David" w:hAnsi="David"/>
          <w:rtl/>
        </w:rPr>
        <w:t>המציב "</w:t>
      </w:r>
      <w:r>
        <w:rPr>
          <w:rFonts w:ascii="David" w:hAnsi="David"/>
          <w:b/>
          <w:bCs/>
          <w:rtl/>
        </w:rPr>
        <w:t>תמרור אזהרה"</w:t>
      </w:r>
      <w:r>
        <w:rPr>
          <w:rFonts w:ascii="David" w:hAnsi="David"/>
          <w:rtl/>
        </w:rPr>
        <w:t xml:space="preserve"> בפני יחיד בהצביעו האפשרות בדבר  " ביטול צו לפתיחת הליכים בשל התנהלות היחיד"  וזאת כאשר  מתקיים תנאי מהתנאים שבסעיף 163(ג)(1) או כי היחיד הפר תנאי מתנאי הצו לשיקום כלכלי ובשל כך </w:t>
      </w:r>
      <w:r>
        <w:rPr>
          <w:rFonts w:ascii="David" w:hAnsi="David"/>
          <w:b/>
          <w:bCs/>
          <w:rtl/>
        </w:rPr>
        <w:t>נפגע באופן מהותי</w:t>
      </w:r>
      <w:r>
        <w:rPr>
          <w:rFonts w:ascii="David" w:hAnsi="David"/>
          <w:rtl/>
        </w:rPr>
        <w:t xml:space="preserve"> ניהולם התקין של הליכי חדלות הפירעון" .</w:t>
      </w:r>
    </w:p>
    <w:p w:rsidR="00824BE7" w:rsidRDefault="00824BE7" w:rsidP="00824BE7">
      <w:pPr>
        <w:ind w:left="-30"/>
        <w:contextualSpacing/>
        <w:jc w:val="both"/>
        <w:rPr>
          <w:rFonts w:ascii="David" w:hAnsi="David"/>
          <w:b/>
          <w:bCs/>
        </w:rPr>
      </w:pPr>
    </w:p>
    <w:p w:rsidR="00824BE7" w:rsidRDefault="00824BE7" w:rsidP="00C324D0">
      <w:pPr>
        <w:ind w:left="-30"/>
        <w:contextualSpacing/>
        <w:jc w:val="both"/>
        <w:rPr>
          <w:rFonts w:ascii="David" w:hAnsi="David"/>
          <w:u w:val="single"/>
          <w:rtl/>
        </w:rPr>
      </w:pPr>
      <w:r>
        <w:rPr>
          <w:rFonts w:ascii="David" w:hAnsi="David"/>
          <w:b/>
          <w:bCs/>
          <w:u w:val="single"/>
          <w:rtl/>
        </w:rPr>
        <w:t xml:space="preserve">היחס בין סעיף 183 לחוק לסעיפים 321 ו322 לחוק והצורך לבחון בזהירות רבה את הבחירה של היחיד כמוצא שלל רב בהבאת הצעת הסדר לאישור חרף התנגדות ממונה וחרף אי הסרת מחדליו  </w:t>
      </w:r>
      <w:r>
        <w:rPr>
          <w:rFonts w:ascii="David" w:hAnsi="David"/>
          <w:u w:val="single"/>
          <w:rtl/>
        </w:rPr>
        <w:t xml:space="preserve"> לאחר </w:t>
      </w:r>
      <w:r w:rsidR="00C324D0">
        <w:rPr>
          <w:rFonts w:ascii="David" w:hAnsi="David" w:hint="cs"/>
          <w:u w:val="single"/>
          <w:rtl/>
        </w:rPr>
        <w:t>ש</w:t>
      </w:r>
      <w:r>
        <w:rPr>
          <w:rFonts w:ascii="David" w:hAnsi="David"/>
          <w:u w:val="single"/>
          <w:rtl/>
        </w:rPr>
        <w:t>סיכל ידיעה על פוטנ</w:t>
      </w:r>
      <w:r w:rsidR="00C324D0">
        <w:rPr>
          <w:rFonts w:ascii="David" w:hAnsi="David" w:hint="cs"/>
          <w:u w:val="single"/>
          <w:rtl/>
        </w:rPr>
        <w:t xml:space="preserve">ציאל </w:t>
      </w:r>
      <w:r>
        <w:rPr>
          <w:rFonts w:ascii="David" w:hAnsi="David"/>
          <w:u w:val="single"/>
          <w:rtl/>
        </w:rPr>
        <w:t xml:space="preserve">הפירעון </w:t>
      </w:r>
    </w:p>
    <w:p w:rsidR="00824BE7" w:rsidRDefault="00824BE7" w:rsidP="00824BE7">
      <w:pPr>
        <w:numPr>
          <w:ilvl w:val="0"/>
          <w:numId w:val="1"/>
        </w:numPr>
        <w:ind w:hanging="531"/>
        <w:contextualSpacing/>
        <w:jc w:val="both"/>
        <w:rPr>
          <w:rFonts w:cs="FrankRuehl"/>
          <w:b/>
          <w:bCs/>
          <w:u w:val="single"/>
        </w:rPr>
      </w:pPr>
      <w:r>
        <w:rPr>
          <w:rFonts w:ascii="David" w:hAnsi="David"/>
          <w:b/>
          <w:bCs/>
          <w:u w:val="single"/>
          <w:rtl/>
        </w:rPr>
        <w:t>שלישית,</w:t>
      </w:r>
      <w:r>
        <w:rPr>
          <w:rFonts w:ascii="David" w:hAnsi="David"/>
          <w:rtl/>
        </w:rPr>
        <w:t xml:space="preserve"> כשמדובר ביחיד שכבר הוצא לבקשתו  צו לפתיחת הליכים  הוא נהנה  מעיכוב הליכים  מעצם הצו . אזכיר שעיכוב הליכים  איננו  מובן מאליו ולא היה תמיד "עניין אוטומטי"  בכל בקשה להסדר חוב  והשוו כב' השופט דנציגר  ברע"א 5500/16 </w:t>
      </w:r>
      <w:r>
        <w:rPr>
          <w:rFonts w:ascii="David" w:hAnsi="David"/>
          <w:b/>
          <w:bCs/>
          <w:rtl/>
        </w:rPr>
        <w:t>גאלב עבאס נ' כונס הנכסים רשמי</w:t>
      </w:r>
      <w:r>
        <w:rPr>
          <w:rFonts w:ascii="David" w:hAnsi="David"/>
          <w:rtl/>
        </w:rPr>
        <w:t xml:space="preserve"> (נבו 07.11.2016)‏‏ ) פסקה 19  ( להלן :" </w:t>
      </w:r>
      <w:r>
        <w:rPr>
          <w:rFonts w:ascii="David" w:hAnsi="David"/>
          <w:b/>
          <w:bCs/>
          <w:rtl/>
        </w:rPr>
        <w:t>ענין עבאס</w:t>
      </w:r>
      <w:r>
        <w:rPr>
          <w:rFonts w:ascii="David" w:hAnsi="David"/>
          <w:rtl/>
        </w:rPr>
        <w:t xml:space="preserve">.")  </w:t>
      </w:r>
    </w:p>
    <w:p w:rsidR="00824BE7" w:rsidRDefault="00824BE7" w:rsidP="00824BE7">
      <w:pPr>
        <w:numPr>
          <w:ilvl w:val="0"/>
          <w:numId w:val="1"/>
        </w:numPr>
        <w:ind w:hanging="531"/>
        <w:contextualSpacing/>
        <w:jc w:val="both"/>
        <w:rPr>
          <w:rFonts w:cs="FrankRuehl"/>
          <w:b/>
          <w:bCs/>
          <w:u w:val="single"/>
        </w:rPr>
      </w:pPr>
      <w:r>
        <w:rPr>
          <w:rFonts w:ascii="David" w:hAnsi="David"/>
          <w:u w:val="single"/>
          <w:rtl/>
        </w:rPr>
        <w:t>כ</w:t>
      </w:r>
      <w:r>
        <w:rPr>
          <w:rFonts w:ascii="David" w:hAnsi="David"/>
          <w:rtl/>
        </w:rPr>
        <w:t xml:space="preserve">עולה </w:t>
      </w:r>
      <w:r>
        <w:rPr>
          <w:rFonts w:ascii="David" w:hAnsi="David"/>
          <w:b/>
          <w:bCs/>
          <w:rtl/>
        </w:rPr>
        <w:t>גם מענין עבאס</w:t>
      </w:r>
      <w:r>
        <w:rPr>
          <w:rFonts w:ascii="David" w:hAnsi="David"/>
          <w:rtl/>
        </w:rPr>
        <w:t xml:space="preserve"> . בכל אופן לצד עיכוב הליכים זה יש מגבלות שנועדו, בין היתר, למנוע מן החייב ליצור חובות חדשים בעיצומו של הליך פשיטת הרגל כעולה </w:t>
      </w:r>
      <w:r>
        <w:rPr>
          <w:rFonts w:ascii="David" w:hAnsi="David"/>
          <w:b/>
          <w:bCs/>
          <w:rtl/>
        </w:rPr>
        <w:t>מענין עבאס</w:t>
      </w:r>
      <w:r>
        <w:rPr>
          <w:rFonts w:ascii="David" w:hAnsi="David"/>
          <w:rtl/>
        </w:rPr>
        <w:t xml:space="preserve"> פסקה 16. והדברים רלבנטיים ביותר גם לאחר </w:t>
      </w:r>
      <w:r>
        <w:rPr>
          <w:rFonts w:ascii="David" w:hAnsi="David"/>
        </w:rPr>
        <w:t xml:space="preserve"> </w:t>
      </w:r>
      <w:r>
        <w:rPr>
          <w:rFonts w:ascii="David" w:hAnsi="David"/>
          <w:rtl/>
        </w:rPr>
        <w:t>כניסתו לתוקף של חוק חדלות פירעון ושיקום כלכלי, התשס"ח-2018 (להלן: החוק</w:t>
      </w:r>
      <w:r>
        <w:rPr>
          <w:rFonts w:ascii="David" w:hAnsi="David"/>
        </w:rPr>
        <w:t xml:space="preserve">)  </w:t>
      </w:r>
      <w:r>
        <w:rPr>
          <w:rFonts w:ascii="David" w:hAnsi="David"/>
          <w:rtl/>
        </w:rPr>
        <w:t>או כב' השופט מינץ  בע"א 1193/21 </w:t>
      </w:r>
      <w:r>
        <w:rPr>
          <w:rFonts w:ascii="David" w:hAnsi="David"/>
          <w:b/>
          <w:bCs/>
          <w:rtl/>
        </w:rPr>
        <w:t>אוריאל רחמני נ' כונס הנכסים הרשמי</w:t>
      </w:r>
      <w:r>
        <w:rPr>
          <w:rFonts w:ascii="David" w:hAnsi="David"/>
          <w:rtl/>
        </w:rPr>
        <w:t> (נבו 03.05.2021)‏9 פסקה 5</w:t>
      </w:r>
      <w:r>
        <w:rPr>
          <w:rFonts w:ascii="David" w:hAnsi="David"/>
        </w:rPr>
        <w:t xml:space="preserve"> </w:t>
      </w:r>
      <w:r>
        <w:rPr>
          <w:rFonts w:ascii="David" w:hAnsi="David"/>
          <w:rtl/>
        </w:rPr>
        <w:t>)</w:t>
      </w:r>
    </w:p>
    <w:p w:rsidR="00824BE7" w:rsidRDefault="00824BE7" w:rsidP="00824BE7">
      <w:pPr>
        <w:numPr>
          <w:ilvl w:val="0"/>
          <w:numId w:val="1"/>
        </w:numPr>
        <w:ind w:hanging="531"/>
        <w:contextualSpacing/>
        <w:jc w:val="both"/>
        <w:rPr>
          <w:rFonts w:ascii="David" w:hAnsi="David"/>
        </w:rPr>
      </w:pPr>
      <w:r>
        <w:rPr>
          <w:rFonts w:ascii="David" w:hAnsi="David"/>
          <w:b/>
          <w:bCs/>
          <w:u w:val="single"/>
          <w:rtl/>
        </w:rPr>
        <w:t>רביעית,</w:t>
      </w:r>
      <w:r>
        <w:rPr>
          <w:rFonts w:ascii="David" w:hAnsi="David"/>
          <w:b/>
          <w:bCs/>
          <w:rtl/>
        </w:rPr>
        <w:t xml:space="preserve"> </w:t>
      </w:r>
      <w:r>
        <w:rPr>
          <w:rFonts w:ascii="David" w:hAnsi="David"/>
          <w:rtl/>
        </w:rPr>
        <w:t>סעיפים  321 ו322  לחוק</w:t>
      </w:r>
      <w:r w:rsidR="00C8328C">
        <w:rPr>
          <w:rFonts w:ascii="David" w:hAnsi="David" w:hint="cs"/>
          <w:rtl/>
        </w:rPr>
        <w:t>,</w:t>
      </w:r>
      <w:r>
        <w:rPr>
          <w:rFonts w:ascii="David" w:hAnsi="David"/>
          <w:rtl/>
        </w:rPr>
        <w:t xml:space="preserve"> מתירים  לבקש הבאת הסדר חוב לאישור בעלי העניין </w:t>
      </w:r>
      <w:r w:rsidR="00C8328C">
        <w:rPr>
          <w:rFonts w:ascii="David" w:hAnsi="David" w:hint="cs"/>
          <w:rtl/>
        </w:rPr>
        <w:t>.</w:t>
      </w:r>
      <w:r>
        <w:rPr>
          <w:rFonts w:ascii="David" w:hAnsi="David"/>
          <w:rtl/>
        </w:rPr>
        <w:t xml:space="preserve">ואכן  הכלל הקבוע בסעיף 322(א) הוא לכאורה ששבית המשפט יורה על הבאת הסדר החוב לאישור הנושים .אולם כעולה מסעיף 322(ג)  לחוק הכלל זה אינו חל במקום שבו "יש בעצם הבאת הסדר החוב לאישור הנושים משום פגיעה בהליך לפי פרק זה: </w:t>
      </w:r>
      <w:r w:rsidR="00C8328C">
        <w:rPr>
          <w:rFonts w:ascii="David" w:hAnsi="David" w:hint="cs"/>
          <w:rtl/>
        </w:rPr>
        <w:t>"</w:t>
      </w:r>
      <w:r>
        <w:rPr>
          <w:rFonts w:ascii="David" w:hAnsi="David"/>
          <w:rtl/>
        </w:rPr>
        <w:t xml:space="preserve"> </w:t>
      </w:r>
    </w:p>
    <w:p w:rsidR="00824BE7" w:rsidRDefault="00C011FF" w:rsidP="00C8328C">
      <w:pPr>
        <w:numPr>
          <w:ilvl w:val="0"/>
          <w:numId w:val="1"/>
        </w:numPr>
        <w:ind w:hanging="531"/>
        <w:contextualSpacing/>
        <w:jc w:val="both"/>
        <w:rPr>
          <w:rFonts w:ascii="David" w:hAnsi="David"/>
        </w:rPr>
      </w:pPr>
      <w:r>
        <w:rPr>
          <w:rFonts w:ascii="David" w:hAnsi="David" w:hint="cs"/>
          <w:rtl/>
        </w:rPr>
        <w:t xml:space="preserve">בלא להביע עמדה נחרצת הואיל ואיני נזקק לכך עתה על פניו </w:t>
      </w:r>
      <w:r w:rsidR="00824BE7">
        <w:rPr>
          <w:rFonts w:ascii="David" w:hAnsi="David"/>
          <w:rtl/>
        </w:rPr>
        <w:t xml:space="preserve">לטעמי סעיף   322 אינו משחרר יחיד מסעיף 183 לחוק  </w:t>
      </w:r>
      <w:r w:rsidR="00C8328C">
        <w:rPr>
          <w:rFonts w:ascii="David" w:hAnsi="David" w:hint="cs"/>
          <w:rtl/>
        </w:rPr>
        <w:t>ה</w:t>
      </w:r>
      <w:r w:rsidR="00824BE7">
        <w:rPr>
          <w:rFonts w:ascii="David" w:hAnsi="David"/>
          <w:rtl/>
        </w:rPr>
        <w:t xml:space="preserve">יחיד אינו רשאי לתכנן צעדיו </w:t>
      </w:r>
      <w:r w:rsidR="00C8328C">
        <w:rPr>
          <w:rFonts w:ascii="David" w:hAnsi="David" w:hint="cs"/>
          <w:rtl/>
        </w:rPr>
        <w:t>,</w:t>
      </w:r>
      <w:r w:rsidR="00824BE7">
        <w:rPr>
          <w:rFonts w:ascii="David" w:hAnsi="David"/>
          <w:rtl/>
        </w:rPr>
        <w:t xml:space="preserve">בהנחה שיפתחו  הליכים לבקשתו, </w:t>
      </w:r>
      <w:r w:rsidR="00C8328C">
        <w:rPr>
          <w:rFonts w:ascii="David" w:hAnsi="David" w:hint="cs"/>
          <w:rtl/>
        </w:rPr>
        <w:t>ש</w:t>
      </w:r>
      <w:r w:rsidR="00824BE7">
        <w:rPr>
          <w:rFonts w:ascii="David" w:hAnsi="David"/>
          <w:rtl/>
        </w:rPr>
        <w:t xml:space="preserve">בהם יתנהל זמן רב </w:t>
      </w:r>
      <w:r w:rsidR="00C8328C">
        <w:rPr>
          <w:rFonts w:ascii="David" w:hAnsi="David" w:hint="cs"/>
          <w:rtl/>
        </w:rPr>
        <w:t>,</w:t>
      </w:r>
      <w:r w:rsidR="00824BE7">
        <w:rPr>
          <w:rFonts w:ascii="David" w:hAnsi="David"/>
          <w:rtl/>
        </w:rPr>
        <w:t>שלא בהתאם לחובת תום הלב המלווה גם אותו</w:t>
      </w:r>
      <w:r w:rsidR="00C8328C">
        <w:rPr>
          <w:rFonts w:ascii="David" w:hAnsi="David" w:hint="cs"/>
          <w:rtl/>
        </w:rPr>
        <w:t xml:space="preserve">, </w:t>
      </w:r>
      <w:r w:rsidR="00824BE7">
        <w:rPr>
          <w:rFonts w:ascii="David" w:hAnsi="David"/>
          <w:rtl/>
        </w:rPr>
        <w:t xml:space="preserve">  ואינו רשאי להתנהל באופן שבו   "בשל כך </w:t>
      </w:r>
      <w:r w:rsidR="00824BE7" w:rsidRPr="00C011FF">
        <w:rPr>
          <w:rFonts w:ascii="David" w:hAnsi="David"/>
          <w:b/>
          <w:bCs/>
          <w:rtl/>
        </w:rPr>
        <w:t>נפגע באופן מהותי ניהולם התקין</w:t>
      </w:r>
      <w:r w:rsidR="00824BE7">
        <w:rPr>
          <w:rFonts w:ascii="David" w:hAnsi="David"/>
          <w:rtl/>
        </w:rPr>
        <w:t xml:space="preserve"> של הליכי חדלות הפירעון"כי לאחר מכן יפנה לפי סעיף 322 (א)  לחוק </w:t>
      </w:r>
    </w:p>
    <w:p w:rsidR="00824BE7" w:rsidRDefault="00824BE7" w:rsidP="00C8328C">
      <w:pPr>
        <w:numPr>
          <w:ilvl w:val="0"/>
          <w:numId w:val="1"/>
        </w:numPr>
        <w:ind w:hanging="531"/>
        <w:contextualSpacing/>
        <w:jc w:val="both"/>
        <w:rPr>
          <w:rFonts w:ascii="David" w:hAnsi="David"/>
        </w:rPr>
      </w:pPr>
      <w:r>
        <w:rPr>
          <w:rFonts w:ascii="David" w:hAnsi="David"/>
          <w:rtl/>
        </w:rPr>
        <w:t>בכל אופן  ס</w:t>
      </w:r>
      <w:r w:rsidR="00E74435">
        <w:rPr>
          <w:rFonts w:ascii="David" w:hAnsi="David" w:hint="cs"/>
          <w:rtl/>
        </w:rPr>
        <w:t xml:space="preserve">' </w:t>
      </w:r>
      <w:r>
        <w:rPr>
          <w:rFonts w:ascii="David" w:hAnsi="David"/>
          <w:rtl/>
        </w:rPr>
        <w:t xml:space="preserve"> 322 (ג)</w:t>
      </w:r>
      <w:r>
        <w:rPr>
          <w:rFonts w:ascii="David" w:hAnsi="David"/>
        </w:rPr>
        <w:t xml:space="preserve"> </w:t>
      </w:r>
      <w:r>
        <w:rPr>
          <w:rFonts w:ascii="David" w:hAnsi="David"/>
          <w:rtl/>
        </w:rPr>
        <w:t>כשלעצמו</w:t>
      </w:r>
      <w:r w:rsidR="00C8328C">
        <w:rPr>
          <w:rFonts w:ascii="David" w:hAnsi="David" w:hint="cs"/>
          <w:rtl/>
        </w:rPr>
        <w:t>,</w:t>
      </w:r>
      <w:r>
        <w:rPr>
          <w:rFonts w:ascii="David" w:hAnsi="David"/>
          <w:rtl/>
        </w:rPr>
        <w:t xml:space="preserve"> קובע כאמור כי על אף האמור בסעיפים קטנים (א) ו-(ב), מצא בית המשפט כי "יש בעצם הבאת הסדר החוב לאישור הנושים משום </w:t>
      </w:r>
      <w:r w:rsidRPr="00C011FF">
        <w:rPr>
          <w:rFonts w:ascii="David" w:hAnsi="David"/>
          <w:b/>
          <w:bCs/>
          <w:rtl/>
        </w:rPr>
        <w:t>פגיעה בהליך</w:t>
      </w:r>
      <w:r>
        <w:rPr>
          <w:rFonts w:ascii="David" w:hAnsi="David"/>
          <w:rtl/>
        </w:rPr>
        <w:t xml:space="preserve"> לפי פרק זה, לא יורה על הבאתו לאישור בעלי העניין."</w:t>
      </w:r>
    </w:p>
    <w:p w:rsidR="00824BE7" w:rsidRDefault="00824BE7" w:rsidP="00824BE7">
      <w:pPr>
        <w:numPr>
          <w:ilvl w:val="0"/>
          <w:numId w:val="1"/>
        </w:numPr>
        <w:ind w:hanging="531"/>
        <w:contextualSpacing/>
        <w:jc w:val="both"/>
        <w:rPr>
          <w:rFonts w:ascii="David" w:hAnsi="David"/>
        </w:rPr>
      </w:pPr>
      <w:r>
        <w:rPr>
          <w:rFonts w:ascii="David" w:hAnsi="David"/>
          <w:rtl/>
        </w:rPr>
        <w:t>הצעת החוק  מלכתחילה לא כללה את הביטוי " פגיעה בהליך" אלא את הביטוי "</w:t>
      </w:r>
      <w:r w:rsidRPr="00C011FF">
        <w:rPr>
          <w:rFonts w:ascii="David" w:hAnsi="David"/>
          <w:b/>
          <w:bCs/>
          <w:rtl/>
        </w:rPr>
        <w:t xml:space="preserve">ניצול לרעה" </w:t>
      </w:r>
      <w:r>
        <w:rPr>
          <w:rFonts w:ascii="David" w:hAnsi="David"/>
          <w:rtl/>
        </w:rPr>
        <w:t>שהוא לכאורה מצומצמם יותר כי נכתב ש אם מצא בית המשפט כי "יש בהסדר החוב שלגביו מתבקש האישור משום ניצול לרעה של ההליך, לא יורה על הבאתו לאישור בעלי העניין</w:t>
      </w:r>
      <w:r>
        <w:rPr>
          <w:rFonts w:ascii="David" w:hAnsi="David"/>
        </w:rPr>
        <w:t>.</w:t>
      </w:r>
      <w:r>
        <w:rPr>
          <w:rFonts w:ascii="David" w:hAnsi="David"/>
          <w:rtl/>
        </w:rPr>
        <w:t xml:space="preserve">"  </w:t>
      </w:r>
    </w:p>
    <w:p w:rsidR="00824BE7" w:rsidRDefault="00824BE7" w:rsidP="00C011FF">
      <w:pPr>
        <w:numPr>
          <w:ilvl w:val="0"/>
          <w:numId w:val="1"/>
        </w:numPr>
        <w:ind w:hanging="531"/>
        <w:contextualSpacing/>
        <w:jc w:val="both"/>
        <w:rPr>
          <w:rFonts w:ascii="David" w:hAnsi="David"/>
        </w:rPr>
      </w:pPr>
      <w:r>
        <w:rPr>
          <w:rFonts w:ascii="David" w:hAnsi="David"/>
          <w:rtl/>
        </w:rPr>
        <w:t xml:space="preserve"> לדעת עודד מאור ואסף דגני הפטר </w:t>
      </w:r>
      <w:r>
        <w:rPr>
          <w:rFonts w:ascii="David" w:hAnsi="David"/>
          <w:b/>
          <w:bCs/>
          <w:rtl/>
        </w:rPr>
        <w:t xml:space="preserve">- חדלות פירעון, הסדרי חוב  ושיקום כלכלי של יחידים </w:t>
      </w:r>
      <w:r>
        <w:rPr>
          <w:rFonts w:ascii="David" w:hAnsi="David"/>
          <w:rtl/>
        </w:rPr>
        <w:t xml:space="preserve">(כרך א', עמ' 431-430) בכך הגדיל המחוקק את שיקול דעתו של בית המשפט שלא לקדם את ההסדר כאשר ברור מראש שלא יאושר </w:t>
      </w:r>
      <w:r>
        <w:rPr>
          <w:rFonts w:ascii="David" w:hAnsi="David"/>
          <w:u w:val="single"/>
          <w:rtl/>
        </w:rPr>
        <w:t>הן בשל ניצול לרעה</w:t>
      </w:r>
      <w:r>
        <w:rPr>
          <w:rFonts w:ascii="David" w:hAnsi="David"/>
          <w:rtl/>
        </w:rPr>
        <w:t xml:space="preserve"> והן מנימוקים אחרים כגון תקנת התציבור ולא כייון לכך שבית המשפט יהייה רשאי  לאשר הסדר בלי להעבירו לנושים </w:t>
      </w:r>
      <w:r w:rsidR="00C011FF">
        <w:rPr>
          <w:rFonts w:ascii="David" w:hAnsi="David" w:hint="cs"/>
          <w:rtl/>
        </w:rPr>
        <w:t xml:space="preserve">. </w:t>
      </w:r>
    </w:p>
    <w:p w:rsidR="00824BE7" w:rsidRDefault="00824BE7" w:rsidP="00824BE7">
      <w:pPr>
        <w:pStyle w:val="P000"/>
        <w:spacing w:before="72"/>
        <w:ind w:right="1134"/>
        <w:rPr>
          <w:rStyle w:val="big-number"/>
          <w:rFonts w:cs="FrankRuehl"/>
          <w:b/>
          <w:bCs/>
          <w:sz w:val="12"/>
          <w:szCs w:val="12"/>
          <w:u w:val="single"/>
        </w:rPr>
      </w:pPr>
    </w:p>
    <w:p w:rsidR="00824BE7" w:rsidRDefault="00824BE7" w:rsidP="00824BE7">
      <w:pPr>
        <w:pStyle w:val="3"/>
        <w:spacing w:line="240" w:lineRule="auto"/>
      </w:pPr>
      <w:bookmarkStart w:id="9" w:name="_Toc154422891"/>
      <w:r>
        <w:rPr>
          <w:rtl/>
        </w:rPr>
        <w:t>ה</w:t>
      </w:r>
      <w:r w:rsidR="00C324D0">
        <w:rPr>
          <w:rFonts w:hint="cs"/>
          <w:rtl/>
        </w:rPr>
        <w:t>י</w:t>
      </w:r>
      <w:r>
        <w:rPr>
          <w:rtl/>
        </w:rPr>
        <w:t>עדר זכות לשימוש לרעה בהליכי חדלות פירעון כחלק מהעיקרון על איסור שימוש לרעה בהליכי משפט</w:t>
      </w:r>
      <w:bookmarkEnd w:id="9"/>
      <w:r>
        <w:rPr>
          <w:rtl/>
        </w:rPr>
        <w:t xml:space="preserve">  </w:t>
      </w:r>
    </w:p>
    <w:p w:rsidR="00824BE7" w:rsidRDefault="00824BE7" w:rsidP="00824BE7">
      <w:pPr>
        <w:ind w:left="501"/>
        <w:contextualSpacing/>
        <w:jc w:val="both"/>
        <w:rPr>
          <w:rFonts w:ascii="David" w:hAnsi="David"/>
          <w:rtl/>
        </w:rPr>
      </w:pPr>
      <w:r>
        <w:rPr>
          <w:rFonts w:ascii="David" w:hAnsi="David"/>
          <w:rtl/>
        </w:rPr>
        <w:t xml:space="preserve"> </w:t>
      </w:r>
    </w:p>
    <w:p w:rsidR="00824BE7" w:rsidRDefault="00824BE7" w:rsidP="00C011FF">
      <w:pPr>
        <w:numPr>
          <w:ilvl w:val="0"/>
          <w:numId w:val="1"/>
        </w:numPr>
        <w:ind w:hanging="531"/>
        <w:contextualSpacing/>
        <w:jc w:val="both"/>
        <w:rPr>
          <w:rFonts w:ascii="David" w:hAnsi="David"/>
        </w:rPr>
      </w:pPr>
      <w:r>
        <w:rPr>
          <w:rFonts w:ascii="David" w:hAnsi="David"/>
          <w:u w:val="single"/>
          <w:rtl/>
        </w:rPr>
        <w:t>חמישית</w:t>
      </w:r>
      <w:r>
        <w:rPr>
          <w:rFonts w:ascii="David" w:hAnsi="David"/>
          <w:rtl/>
        </w:rPr>
        <w:t xml:space="preserve">, </w:t>
      </w:r>
      <w:r w:rsidR="00C011FF">
        <w:rPr>
          <w:rFonts w:ascii="David" w:hAnsi="David" w:hint="cs"/>
          <w:rtl/>
        </w:rPr>
        <w:t>סברתי שעל פניו ה</w:t>
      </w:r>
      <w:r>
        <w:rPr>
          <w:rFonts w:ascii="David" w:hAnsi="David"/>
          <w:rtl/>
        </w:rPr>
        <w:t xml:space="preserve">איסור על שימוש לרעה חל גם </w:t>
      </w:r>
      <w:r w:rsidR="00C011FF">
        <w:rPr>
          <w:rFonts w:ascii="David" w:hAnsi="David" w:hint="cs"/>
          <w:rtl/>
        </w:rPr>
        <w:t xml:space="preserve">בהליכי </w:t>
      </w:r>
      <w:r>
        <w:rPr>
          <w:rFonts w:ascii="David" w:hAnsi="David"/>
          <w:rtl/>
        </w:rPr>
        <w:t xml:space="preserve">חדלות פירעון ובהקשר זה אפנה לעקרונות </w:t>
      </w:r>
      <w:r>
        <w:rPr>
          <w:rFonts w:ascii="David" w:hAnsi="David"/>
          <w:b/>
          <w:bCs/>
          <w:rtl/>
        </w:rPr>
        <w:t>היסוד בתקנות סדר הדין האזרחי</w:t>
      </w:r>
      <w:r>
        <w:rPr>
          <w:rFonts w:ascii="David" w:hAnsi="David"/>
          <w:rtl/>
        </w:rPr>
        <w:t>,</w:t>
      </w:r>
      <w:r>
        <w:rPr>
          <w:rFonts w:ascii="David" w:hAnsi="David"/>
        </w:rPr>
        <w:t xml:space="preserve"> </w:t>
      </w:r>
      <w:r>
        <w:rPr>
          <w:rFonts w:ascii="David" w:hAnsi="David"/>
          <w:rtl/>
        </w:rPr>
        <w:t>ומתוכם אזכיר  את האיסור על   "</w:t>
      </w:r>
      <w:r>
        <w:rPr>
          <w:rFonts w:ascii="David" w:hAnsi="David"/>
          <w:u w:val="single"/>
          <w:rtl/>
        </w:rPr>
        <w:t>שימוש לרעה בהליכי משפט  על מנת לפגוע בזולת"</w:t>
      </w:r>
      <w:r>
        <w:rPr>
          <w:rFonts w:ascii="David" w:hAnsi="David"/>
          <w:rtl/>
        </w:rPr>
        <w:t xml:space="preserve">,. והזולת במקרה </w:t>
      </w:r>
      <w:r w:rsidRPr="00C011FF">
        <w:rPr>
          <w:rFonts w:ascii="David" w:hAnsi="David"/>
          <w:b/>
          <w:bCs/>
          <w:rtl/>
        </w:rPr>
        <w:t>זה  כולל כל אחד מ 38 הנושים   הנגררים בהליכים נמשכים כדי לקבל כספם מול יחיד שצו פתיחת הליכים עיכב הליכים כלפיו למשך תקופה נכרת ועתה מבקש  להציע ההסדר</w:t>
      </w:r>
      <w:r w:rsidR="00C011FF">
        <w:rPr>
          <w:rFonts w:ascii="David" w:hAnsi="David" w:hint="cs"/>
          <w:b/>
          <w:bCs/>
          <w:rtl/>
        </w:rPr>
        <w:t xml:space="preserve"> המעורפל </w:t>
      </w:r>
      <w:r w:rsidRPr="00C011FF">
        <w:rPr>
          <w:rFonts w:ascii="David" w:hAnsi="David"/>
          <w:b/>
          <w:bCs/>
          <w:rtl/>
        </w:rPr>
        <w:t xml:space="preserve"> הנ"ל </w:t>
      </w:r>
      <w:r w:rsidR="00C011FF">
        <w:rPr>
          <w:rFonts w:ascii="David" w:hAnsi="David" w:hint="cs"/>
          <w:b/>
          <w:bCs/>
          <w:rtl/>
        </w:rPr>
        <w:t xml:space="preserve"> הכרוך בחוב חדש </w:t>
      </w:r>
      <w:r w:rsidRPr="00C011FF">
        <w:rPr>
          <w:rFonts w:ascii="David" w:hAnsi="David"/>
          <w:b/>
          <w:bCs/>
          <w:rtl/>
        </w:rPr>
        <w:lastRenderedPageBreak/>
        <w:t xml:space="preserve">חרף מחדליו </w:t>
      </w:r>
      <w:r w:rsidRPr="00C011FF">
        <w:rPr>
          <w:rFonts w:ascii="David" w:hAnsi="David"/>
          <w:b/>
          <w:bCs/>
        </w:rPr>
        <w:t xml:space="preserve"> </w:t>
      </w:r>
      <w:r w:rsidRPr="00C011FF">
        <w:rPr>
          <w:rFonts w:ascii="David" w:hAnsi="David"/>
          <w:b/>
          <w:bCs/>
          <w:rtl/>
        </w:rPr>
        <w:t>.</w:t>
      </w:r>
      <w:r>
        <w:rPr>
          <w:rFonts w:ascii="David" w:hAnsi="David"/>
          <w:rtl/>
        </w:rPr>
        <w:t xml:space="preserve"> על השימוש בעקרון זה כדי למנוע פגיעה בזולת  ראו למשל  יששכר רוזן</w:t>
      </w:r>
      <w:r>
        <w:rPr>
          <w:rFonts w:ascii="David" w:hAnsi="David"/>
        </w:rPr>
        <w:t>-</w:t>
      </w:r>
      <w:r>
        <w:rPr>
          <w:rFonts w:ascii="David" w:hAnsi="David"/>
          <w:rtl/>
        </w:rPr>
        <w:t>צבי, הרפורמה בסדר הדין האזרחי</w:t>
      </w:r>
      <w:r>
        <w:rPr>
          <w:rFonts w:ascii="David" w:hAnsi="David"/>
        </w:rPr>
        <w:t>: </w:t>
      </w:r>
      <w:r>
        <w:rPr>
          <w:rFonts w:ascii="David" w:hAnsi="David"/>
          <w:rtl/>
        </w:rPr>
        <w:t>מורה נבוכים </w:t>
      </w:r>
      <w:r>
        <w:rPr>
          <w:rFonts w:ascii="David" w:hAnsi="David"/>
        </w:rPr>
        <w:t>41 (202</w:t>
      </w:r>
      <w:r>
        <w:rPr>
          <w:rFonts w:ascii="David" w:hAnsi="David"/>
          <w:rtl/>
        </w:rPr>
        <w:t xml:space="preserve">3 </w:t>
      </w:r>
      <w:r>
        <w:rPr>
          <w:rFonts w:ascii="David" w:hAnsi="David"/>
        </w:rPr>
        <w:t xml:space="preserve"> </w:t>
      </w:r>
      <w:r>
        <w:rPr>
          <w:rFonts w:ascii="David" w:hAnsi="David"/>
          <w:rtl/>
        </w:rPr>
        <w:t>לישום עקרון זה על הליכי חדלות פירעון ראו בהיקש  כב השופט סולברג  ע"א 2477/21 </w:t>
      </w:r>
      <w:r>
        <w:rPr>
          <w:rFonts w:ascii="David" w:hAnsi="David"/>
          <w:b/>
          <w:bCs/>
          <w:rtl/>
        </w:rPr>
        <w:t>אורי בכור נ' עו"ד יריב ישינובסקי מנהל מיוחד </w:t>
      </w:r>
      <w:r>
        <w:rPr>
          <w:rFonts w:ascii="David" w:hAnsi="David"/>
          <w:rtl/>
        </w:rPr>
        <w:t>(נבו 08.06.2021)‏‏ "הרי שיש בכך משום מינוף הליכי פשיטת הרגל שלא לתכליתם, שימוש לרעה בהליכי משפט</w:t>
      </w:r>
      <w:r>
        <w:rPr>
          <w:rFonts w:ascii="David" w:hAnsi="David"/>
        </w:rPr>
        <w:t xml:space="preserve"> (</w:t>
      </w:r>
      <w:r>
        <w:rPr>
          <w:rFonts w:ascii="David" w:hAnsi="David"/>
          <w:rtl/>
        </w:rPr>
        <w:t xml:space="preserve"> </w:t>
      </w:r>
      <w:r>
        <w:rPr>
          <w:rFonts w:ascii="David" w:hAnsi="David"/>
        </w:rPr>
        <w:t>"</w:t>
      </w:r>
      <w:r>
        <w:rPr>
          <w:rFonts w:ascii="David" w:hAnsi="David"/>
          <w:rtl/>
        </w:rPr>
        <w:t>לפירוט נוסף לגבי העקרון מקורותיו ופיתוחיו או גם תא"ח (שלום ראשל"צ) 36289-10-18 </w:t>
      </w:r>
      <w:r>
        <w:rPr>
          <w:rFonts w:ascii="David" w:hAnsi="David"/>
          <w:b/>
          <w:bCs/>
          <w:rtl/>
        </w:rPr>
        <w:t>בנימין שבתאי נ' שמעון סעדון </w:t>
      </w:r>
      <w:r>
        <w:rPr>
          <w:rFonts w:ascii="David" w:hAnsi="David"/>
          <w:rtl/>
        </w:rPr>
        <w:t xml:space="preserve">(נבו 23.02.2019)‏‏ עוד אזכיר דברי כב' השופט </w:t>
      </w:r>
      <w:r>
        <w:rPr>
          <w:rFonts w:ascii="David" w:hAnsi="David"/>
        </w:rPr>
        <w:t xml:space="preserve"> </w:t>
      </w:r>
      <w:r>
        <w:rPr>
          <w:rFonts w:ascii="David" w:hAnsi="David"/>
          <w:rtl/>
        </w:rPr>
        <w:t>סולברג בע"א 5662/19 </w:t>
      </w:r>
      <w:r>
        <w:rPr>
          <w:rFonts w:ascii="David" w:hAnsi="David"/>
          <w:b/>
          <w:bCs/>
          <w:rtl/>
        </w:rPr>
        <w:t>ג'יזל בלס נ' אילנה נוטס </w:t>
      </w:r>
      <w:r>
        <w:rPr>
          <w:rFonts w:ascii="David" w:hAnsi="David"/>
          <w:rtl/>
        </w:rPr>
        <w:t>(נבו 28.07.2020)‏‏ "9. לא אחת עמד בית משפט זה על הקושי הטמון בהגדרת המונח 'שימוש לרעה בהליכי משפט'. כפי שציינה הנשיאה (כתוארה אז) ד' ביניש: "השאלה מהו שימוש לרעה בהליך השיפוטי, אינה ניתנת לתשובה אחידה וממצה. קשה להגדיר מראש מתי תעלה התנהגות של בעל-דין כדי ניצול לרעה של ההליך השיפוטי; קל יותר לזהות את הפסול שבהתנהגות זו כאשר נתקלים בה"   אגב כידוע התנהלות היחיד רלבנטית גם לבחינת כל הסדר בעניינו אם יובא לאישור כבק השופטת פרוקציה בע"א 6021/0</w:t>
      </w:r>
      <w:r>
        <w:rPr>
          <w:rFonts w:ascii="David" w:hAnsi="David"/>
          <w:b/>
          <w:bCs/>
          <w:rtl/>
        </w:rPr>
        <w:t>6 דגנית פיגון נ' כונס הנכסים הרישמי </w:t>
      </w:r>
      <w:r>
        <w:rPr>
          <w:rFonts w:ascii="David" w:hAnsi="David"/>
          <w:rtl/>
        </w:rPr>
        <w:t>(נבו 09.08.2009)</w:t>
      </w:r>
    </w:p>
    <w:p w:rsidR="00824BE7" w:rsidRDefault="00824BE7" w:rsidP="00824BE7">
      <w:pPr>
        <w:numPr>
          <w:ilvl w:val="0"/>
          <w:numId w:val="1"/>
        </w:numPr>
        <w:ind w:hanging="531"/>
        <w:contextualSpacing/>
        <w:jc w:val="both"/>
        <w:rPr>
          <w:rFonts w:cs="Times New Roman"/>
          <w:sz w:val="4"/>
          <w:szCs w:val="4"/>
        </w:rPr>
      </w:pPr>
      <w:r>
        <w:rPr>
          <w:rFonts w:ascii="David" w:hAnsi="David"/>
          <w:u w:val="single"/>
          <w:rtl/>
        </w:rPr>
        <w:t xml:space="preserve">אזכיר שבגדר הליך חדלות הפירעון </w:t>
      </w:r>
      <w:r>
        <w:rPr>
          <w:rFonts w:ascii="David" w:hAnsi="David"/>
          <w:rtl/>
        </w:rPr>
        <w:t xml:space="preserve"> נקודת המוצא היא בכלל היסודי שלפיו על  יחיד  הין היתר  לחשוף את " </w:t>
      </w:r>
      <w:r>
        <w:rPr>
          <w:rFonts w:ascii="David" w:hAnsi="David"/>
          <w:b/>
          <w:bCs/>
          <w:rtl/>
        </w:rPr>
        <w:t>את כלל המידע הנדרש להערכת כלל הכנסותיו והוצאותיו וכושר השתכרותו הפוטנציאלי  ו</w:t>
      </w:r>
      <w:r>
        <w:rPr>
          <w:rFonts w:ascii="David" w:hAnsi="David"/>
          <w:rtl/>
        </w:rPr>
        <w:t>זאת כחלק מחוובות ום הלב החלות ב שלב יצירת החובות ובשלב  ניהול הליך ע"א 3414/19 </w:t>
      </w:r>
      <w:r>
        <w:rPr>
          <w:rFonts w:ascii="David" w:hAnsi="David"/>
          <w:b/>
          <w:bCs/>
          <w:rtl/>
        </w:rPr>
        <w:t>מיכאלי שבתאי יגיל נ' עו"ד הראל אורן</w:t>
      </w:r>
      <w:r>
        <w:rPr>
          <w:rFonts w:ascii="David" w:hAnsi="David"/>
          <w:rtl/>
        </w:rPr>
        <w:t xml:space="preserve"> - המנהל המיוחד (נבו 23.02.2020)‏‏ "</w:t>
      </w:r>
    </w:p>
    <w:p w:rsidR="00824BE7" w:rsidRDefault="00824BE7" w:rsidP="00E74435">
      <w:pPr>
        <w:numPr>
          <w:ilvl w:val="0"/>
          <w:numId w:val="1"/>
        </w:numPr>
        <w:ind w:hanging="531"/>
        <w:contextualSpacing/>
        <w:jc w:val="both"/>
        <w:rPr>
          <w:rFonts w:ascii="David" w:hAnsi="David"/>
        </w:rPr>
      </w:pPr>
      <w:r>
        <w:rPr>
          <w:rFonts w:ascii="David" w:hAnsi="David"/>
          <w:rtl/>
        </w:rPr>
        <w:t>יחיד המסכל  את בירור המידע  למעשה מסכל את  הליך ואת ה מטרה המרכזית שהיא לדעת מה  פוטנציאל הפירעון שיש לפושט הרגל  על תכלית זאת ראו למשל  כב' השופט אלרון ב 10217/16 ב</w:t>
      </w:r>
      <w:r>
        <w:rPr>
          <w:rFonts w:ascii="David" w:hAnsi="David"/>
          <w:b/>
          <w:bCs/>
          <w:rtl/>
        </w:rPr>
        <w:t>.ת.ב - בניני תעשיה באר-שבע בע"מ נ' רפאל ג'ינר</w:t>
      </w:r>
      <w:r>
        <w:rPr>
          <w:rFonts w:ascii="David" w:hAnsi="David"/>
          <w:rtl/>
        </w:rPr>
        <w:t xml:space="preserve"> (נבו 17.01.2019)‏‏ " מדה זו מגשימה את תכליות הליך פשיטת הרגל, בהן העמדת כל פוטנציאל הפירעון שיש לפושט הרגל לרשות נושיו, וכן בין היתר  כוביתר דיוק נאמר כי המטרה העיקרית שביסוד הוראת החיקוק היא העמדת כל פוטנציאל הפירעון שיש לפושט הרגל לרשות נושיו (השוו  כבק השופט ריבלין בע"א 5388/07 </w:t>
      </w:r>
      <w:r>
        <w:rPr>
          <w:rFonts w:ascii="David" w:hAnsi="David"/>
          <w:b/>
          <w:bCs/>
          <w:rtl/>
        </w:rPr>
        <w:t>יורם גיל נ' עו"ד ד"ר יואב בן דרור (</w:t>
      </w:r>
      <w:r>
        <w:rPr>
          <w:rFonts w:ascii="David" w:hAnsi="David"/>
          <w:rtl/>
        </w:rPr>
        <w:t xml:space="preserve">נבו 1.10.2009) ראו: ע"א 404/87 </w:t>
      </w:r>
      <w:r>
        <w:rPr>
          <w:rFonts w:ascii="David" w:hAnsi="David"/>
          <w:b/>
          <w:bCs/>
          <w:rtl/>
        </w:rPr>
        <w:t xml:space="preserve">אוסקר וסינג נ' רו"ח ורקר, </w:t>
      </w:r>
      <w:r>
        <w:rPr>
          <w:rFonts w:ascii="David" w:hAnsi="David"/>
          <w:rtl/>
        </w:rPr>
        <w:t xml:space="preserve">פ"ד מד(2) 593, 599 (1990),  </w:t>
      </w:r>
    </w:p>
    <w:p w:rsidR="00824BE7" w:rsidRPr="00C324D0" w:rsidRDefault="0048447D" w:rsidP="00824BE7">
      <w:pPr>
        <w:pStyle w:val="2"/>
        <w:spacing w:line="240" w:lineRule="auto"/>
        <w:rPr>
          <w:u w:val="single"/>
        </w:rPr>
      </w:pPr>
      <w:bookmarkStart w:id="10" w:name="_Toc154422892"/>
      <w:r w:rsidRPr="00C324D0">
        <w:rPr>
          <w:rFonts w:hint="cs"/>
          <w:u w:val="single"/>
          <w:rtl/>
        </w:rPr>
        <w:t xml:space="preserve">ה. </w:t>
      </w:r>
      <w:r w:rsidR="00824BE7" w:rsidRPr="00C324D0">
        <w:rPr>
          <w:u w:val="single"/>
          <w:rtl/>
        </w:rPr>
        <w:t>מן הכלל אל הפרט</w:t>
      </w:r>
      <w:r w:rsidR="00C324D0" w:rsidRPr="00C324D0">
        <w:rPr>
          <w:rFonts w:hint="cs"/>
          <w:u w:val="single"/>
          <w:rtl/>
        </w:rPr>
        <w:t>.</w:t>
      </w:r>
      <w:bookmarkEnd w:id="10"/>
      <w:r w:rsidR="00824BE7" w:rsidRPr="00C324D0">
        <w:rPr>
          <w:u w:val="single"/>
          <w:rtl/>
        </w:rPr>
        <w:t xml:space="preserve"> </w:t>
      </w:r>
    </w:p>
    <w:p w:rsidR="00824BE7" w:rsidRDefault="00824BE7" w:rsidP="00D772A0">
      <w:pPr>
        <w:numPr>
          <w:ilvl w:val="0"/>
          <w:numId w:val="1"/>
        </w:numPr>
        <w:ind w:hanging="531"/>
        <w:contextualSpacing/>
        <w:jc w:val="both"/>
        <w:rPr>
          <w:rFonts w:ascii="David" w:hAnsi="David"/>
        </w:rPr>
      </w:pPr>
      <w:r>
        <w:rPr>
          <w:rFonts w:ascii="David" w:hAnsi="David"/>
          <w:rtl/>
        </w:rPr>
        <w:t>כעולה מהנאמר ב לעיל  היחיד  ביצע הפרה בוטה של החובות</w:t>
      </w:r>
      <w:r w:rsidR="00D772A0">
        <w:rPr>
          <w:rFonts w:ascii="David" w:hAnsi="David" w:hint="cs"/>
          <w:rtl/>
        </w:rPr>
        <w:t xml:space="preserve">  בהליך שבגינה הוצע לבטלו.</w:t>
      </w:r>
      <w:r>
        <w:rPr>
          <w:rFonts w:ascii="David" w:hAnsi="David"/>
          <w:rtl/>
        </w:rPr>
        <w:t xml:space="preserve">   </w:t>
      </w:r>
    </w:p>
    <w:p w:rsidR="00824BE7" w:rsidRDefault="00824BE7" w:rsidP="00D772A0">
      <w:pPr>
        <w:numPr>
          <w:ilvl w:val="0"/>
          <w:numId w:val="1"/>
        </w:numPr>
        <w:ind w:hanging="531"/>
        <w:contextualSpacing/>
        <w:jc w:val="both"/>
        <w:rPr>
          <w:rFonts w:ascii="David" w:hAnsi="David"/>
        </w:rPr>
      </w:pPr>
      <w:r>
        <w:rPr>
          <w:rFonts w:ascii="David" w:hAnsi="David"/>
        </w:rPr>
        <w:t xml:space="preserve"> </w:t>
      </w:r>
      <w:r>
        <w:rPr>
          <w:rFonts w:ascii="David" w:hAnsi="David"/>
          <w:rtl/>
        </w:rPr>
        <w:t xml:space="preserve">היחיד הציע הסדר  </w:t>
      </w:r>
      <w:r w:rsidR="00C011FF">
        <w:rPr>
          <w:rFonts w:ascii="David" w:hAnsi="David" w:hint="cs"/>
          <w:rtl/>
        </w:rPr>
        <w:t xml:space="preserve">הכרוך בנטילת הלוואה חדשה </w:t>
      </w:r>
      <w:r w:rsidR="00E74435">
        <w:rPr>
          <w:rFonts w:ascii="David" w:hAnsi="David" w:hint="cs"/>
          <w:rtl/>
        </w:rPr>
        <w:t>כבר ב"</w:t>
      </w:r>
      <w:r w:rsidR="0048447D">
        <w:rPr>
          <w:rFonts w:ascii="David" w:hAnsi="David" w:hint="cs"/>
          <w:rtl/>
        </w:rPr>
        <w:t>פעימה הראשונה</w:t>
      </w:r>
      <w:r w:rsidR="00E74435">
        <w:rPr>
          <w:rFonts w:ascii="David" w:hAnsi="David" w:hint="cs"/>
          <w:rtl/>
        </w:rPr>
        <w:t xml:space="preserve">" </w:t>
      </w:r>
      <w:r w:rsidR="00D772A0">
        <w:rPr>
          <w:rFonts w:ascii="David" w:hAnsi="David" w:hint="cs"/>
          <w:rtl/>
        </w:rPr>
        <w:t>ש</w:t>
      </w:r>
      <w:r w:rsidR="00E74435">
        <w:rPr>
          <w:rFonts w:ascii="David" w:hAnsi="David" w:hint="cs"/>
          <w:rtl/>
        </w:rPr>
        <w:t xml:space="preserve">בה </w:t>
      </w:r>
      <w:r w:rsidR="0048447D">
        <w:rPr>
          <w:rFonts w:ascii="David" w:hAnsi="David" w:hint="cs"/>
          <w:rtl/>
        </w:rPr>
        <w:t xml:space="preserve"> </w:t>
      </w:r>
      <w:r w:rsidR="00E74435">
        <w:rPr>
          <w:rFonts w:ascii="David" w:hAnsi="David" w:hint="cs"/>
          <w:rtl/>
        </w:rPr>
        <w:t xml:space="preserve">טען </w:t>
      </w:r>
      <w:r w:rsidR="00D772A0">
        <w:rPr>
          <w:rFonts w:ascii="David" w:hAnsi="David" w:hint="cs"/>
          <w:rtl/>
        </w:rPr>
        <w:t>שילווה מ</w:t>
      </w:r>
      <w:r w:rsidR="00E74435">
        <w:rPr>
          <w:rFonts w:ascii="David" w:hAnsi="David" w:hint="cs"/>
          <w:rtl/>
        </w:rPr>
        <w:t>מלווה שניתן לזיהוי שהוא ה</w:t>
      </w:r>
      <w:r w:rsidR="0048447D">
        <w:rPr>
          <w:rFonts w:ascii="David" w:hAnsi="David" w:hint="cs"/>
          <w:rtl/>
        </w:rPr>
        <w:t>בן של אשתו</w:t>
      </w:r>
      <w:r w:rsidR="00D772A0">
        <w:rPr>
          <w:rFonts w:ascii="David" w:hAnsi="David" w:hint="cs"/>
          <w:rtl/>
        </w:rPr>
        <w:t xml:space="preserve">. </w:t>
      </w:r>
      <w:r w:rsidR="0048447D">
        <w:rPr>
          <w:rFonts w:ascii="David" w:hAnsi="David" w:hint="cs"/>
          <w:rtl/>
        </w:rPr>
        <w:t xml:space="preserve"> </w:t>
      </w:r>
      <w:r w:rsidR="00E74435">
        <w:rPr>
          <w:rFonts w:ascii="David" w:hAnsi="David" w:hint="cs"/>
          <w:rtl/>
        </w:rPr>
        <w:t>אולם</w:t>
      </w:r>
      <w:r w:rsidR="00D772A0">
        <w:rPr>
          <w:rFonts w:ascii="David" w:hAnsi="David" w:hint="cs"/>
          <w:rtl/>
        </w:rPr>
        <w:t xml:space="preserve"> ת</w:t>
      </w:r>
      <w:r w:rsidR="0048447D">
        <w:rPr>
          <w:rFonts w:ascii="David" w:hAnsi="David" w:hint="cs"/>
          <w:rtl/>
        </w:rPr>
        <w:t>צהיר</w:t>
      </w:r>
      <w:r w:rsidR="00D772A0">
        <w:rPr>
          <w:rFonts w:ascii="David" w:hAnsi="David" w:hint="cs"/>
          <w:rtl/>
        </w:rPr>
        <w:t xml:space="preserve"> המלווה </w:t>
      </w:r>
      <w:r w:rsidR="0048447D">
        <w:rPr>
          <w:rFonts w:ascii="David" w:hAnsi="David" w:hint="cs"/>
          <w:rtl/>
        </w:rPr>
        <w:t xml:space="preserve">לא צורף </w:t>
      </w:r>
      <w:r>
        <w:rPr>
          <w:rFonts w:ascii="David" w:hAnsi="David"/>
          <w:rtl/>
        </w:rPr>
        <w:t>חרף החלטה קוד</w:t>
      </w:r>
      <w:r w:rsidR="00D772A0">
        <w:rPr>
          <w:rFonts w:ascii="David" w:hAnsi="David" w:hint="cs"/>
          <w:rtl/>
        </w:rPr>
        <w:t>מת .</w:t>
      </w:r>
      <w:r>
        <w:rPr>
          <w:rFonts w:ascii="David" w:hAnsi="David"/>
          <w:rtl/>
        </w:rPr>
        <w:t>הצע</w:t>
      </w:r>
      <w:r w:rsidR="00D772A0">
        <w:rPr>
          <w:rFonts w:ascii="David" w:hAnsi="David" w:hint="cs"/>
          <w:rtl/>
        </w:rPr>
        <w:t xml:space="preserve">תו אף </w:t>
      </w:r>
      <w:r>
        <w:rPr>
          <w:rFonts w:ascii="David" w:hAnsi="David"/>
          <w:rtl/>
        </w:rPr>
        <w:t xml:space="preserve">מעורפלת </w:t>
      </w:r>
      <w:r w:rsidR="00D2393C">
        <w:rPr>
          <w:rFonts w:ascii="David" w:hAnsi="David" w:hint="cs"/>
          <w:rtl/>
        </w:rPr>
        <w:t xml:space="preserve"> </w:t>
      </w:r>
      <w:r w:rsidR="00D772A0">
        <w:rPr>
          <w:rFonts w:ascii="David" w:hAnsi="David" w:hint="cs"/>
          <w:rtl/>
        </w:rPr>
        <w:t xml:space="preserve">ובעייתית </w:t>
      </w:r>
      <w:r w:rsidR="00D2393C">
        <w:rPr>
          <w:rFonts w:ascii="David" w:hAnsi="David" w:hint="cs"/>
          <w:rtl/>
        </w:rPr>
        <w:t>יותר ב</w:t>
      </w:r>
      <w:r>
        <w:rPr>
          <w:rFonts w:ascii="David" w:hAnsi="David"/>
          <w:rtl/>
        </w:rPr>
        <w:t xml:space="preserve">נוגע לפעימה השנייה </w:t>
      </w:r>
      <w:r w:rsidR="0048447D">
        <w:rPr>
          <w:rFonts w:ascii="David" w:hAnsi="David" w:hint="cs"/>
          <w:rtl/>
        </w:rPr>
        <w:t xml:space="preserve"> שלגביה גם זהות </w:t>
      </w:r>
      <w:r w:rsidR="00D772A0">
        <w:rPr>
          <w:rFonts w:ascii="David" w:hAnsi="David" w:hint="cs"/>
          <w:rtl/>
        </w:rPr>
        <w:t>ה</w:t>
      </w:r>
      <w:r w:rsidR="0048447D">
        <w:rPr>
          <w:rFonts w:ascii="David" w:hAnsi="David" w:hint="cs"/>
          <w:rtl/>
        </w:rPr>
        <w:t>מלווה אינה ידועה</w:t>
      </w:r>
      <w:r>
        <w:rPr>
          <w:rFonts w:ascii="David" w:hAnsi="David"/>
          <w:rtl/>
        </w:rPr>
        <w:t xml:space="preserve">. </w:t>
      </w:r>
    </w:p>
    <w:p w:rsidR="00824BE7" w:rsidRDefault="0048447D" w:rsidP="00D772A0">
      <w:pPr>
        <w:numPr>
          <w:ilvl w:val="0"/>
          <w:numId w:val="1"/>
        </w:numPr>
        <w:ind w:hanging="531"/>
        <w:contextualSpacing/>
        <w:jc w:val="both"/>
        <w:rPr>
          <w:rFonts w:ascii="David" w:hAnsi="David"/>
        </w:rPr>
      </w:pPr>
      <w:r>
        <w:rPr>
          <w:rFonts w:ascii="David" w:hAnsi="David" w:hint="cs"/>
          <w:rtl/>
        </w:rPr>
        <w:t xml:space="preserve">מעבר </w:t>
      </w:r>
      <w:r w:rsidR="00D772A0">
        <w:rPr>
          <w:rFonts w:ascii="David" w:hAnsi="David" w:hint="cs"/>
          <w:rtl/>
        </w:rPr>
        <w:t>לכך יצוין שה</w:t>
      </w:r>
      <w:r w:rsidR="00824BE7">
        <w:rPr>
          <w:rFonts w:ascii="David" w:hAnsi="David"/>
          <w:rtl/>
        </w:rPr>
        <w:t xml:space="preserve">יחיד </w:t>
      </w:r>
      <w:r w:rsidR="00D772A0">
        <w:rPr>
          <w:rFonts w:ascii="David" w:hAnsi="David" w:hint="cs"/>
          <w:rtl/>
        </w:rPr>
        <w:t xml:space="preserve">סיכל יכולת בירור </w:t>
      </w:r>
      <w:r w:rsidR="00824BE7">
        <w:rPr>
          <w:rFonts w:ascii="David" w:hAnsi="David"/>
          <w:rtl/>
        </w:rPr>
        <w:t xml:space="preserve">פוטנציאל הפירעון </w:t>
      </w:r>
      <w:r>
        <w:rPr>
          <w:rFonts w:ascii="David" w:hAnsi="David" w:hint="cs"/>
          <w:rtl/>
        </w:rPr>
        <w:t xml:space="preserve">שלו </w:t>
      </w:r>
      <w:r w:rsidR="00824BE7">
        <w:rPr>
          <w:rFonts w:ascii="David" w:hAnsi="David"/>
          <w:rtl/>
        </w:rPr>
        <w:t xml:space="preserve">בהליך חדלות הפירעון </w:t>
      </w:r>
      <w:r>
        <w:rPr>
          <w:rFonts w:ascii="David" w:hAnsi="David" w:hint="cs"/>
          <w:rtl/>
        </w:rPr>
        <w:t xml:space="preserve">כי בעודו נהנה </w:t>
      </w:r>
      <w:r w:rsidR="00824BE7">
        <w:rPr>
          <w:rFonts w:ascii="David" w:hAnsi="David"/>
          <w:rtl/>
        </w:rPr>
        <w:t>מעיכוב הליכים</w:t>
      </w:r>
      <w:r w:rsidR="00D772A0">
        <w:rPr>
          <w:rFonts w:ascii="David" w:hAnsi="David" w:hint="cs"/>
          <w:rtl/>
        </w:rPr>
        <w:t>.</w:t>
      </w:r>
      <w:r>
        <w:rPr>
          <w:rFonts w:ascii="David" w:hAnsi="David" w:hint="cs"/>
        </w:rPr>
        <w:t xml:space="preserve"> </w:t>
      </w:r>
      <w:r w:rsidR="00824BE7">
        <w:rPr>
          <w:rFonts w:ascii="David" w:hAnsi="David"/>
          <w:rtl/>
        </w:rPr>
        <w:t xml:space="preserve"> </w:t>
      </w:r>
    </w:p>
    <w:p w:rsidR="00824BE7" w:rsidRDefault="00824BE7" w:rsidP="00AB18E2">
      <w:pPr>
        <w:numPr>
          <w:ilvl w:val="0"/>
          <w:numId w:val="1"/>
        </w:numPr>
        <w:ind w:hanging="531"/>
        <w:contextualSpacing/>
        <w:jc w:val="both"/>
        <w:rPr>
          <w:rFonts w:ascii="David" w:hAnsi="David"/>
        </w:rPr>
      </w:pPr>
      <w:r>
        <w:rPr>
          <w:rFonts w:ascii="David" w:hAnsi="David"/>
          <w:rtl/>
        </w:rPr>
        <w:t xml:space="preserve"> לשון אחרת מקובלת עלי לחלוטין</w:t>
      </w:r>
      <w:r w:rsidR="00AB18E2">
        <w:rPr>
          <w:rFonts w:ascii="David" w:hAnsi="David" w:hint="cs"/>
          <w:rtl/>
        </w:rPr>
        <w:t xml:space="preserve">, לגבי המקרה שלפני </w:t>
      </w:r>
      <w:r>
        <w:rPr>
          <w:rFonts w:ascii="David" w:hAnsi="David"/>
          <w:rtl/>
        </w:rPr>
        <w:t xml:space="preserve"> עמדת הממונה </w:t>
      </w:r>
      <w:r w:rsidR="0048447D">
        <w:rPr>
          <w:rFonts w:ascii="David" w:hAnsi="David" w:hint="cs"/>
          <w:rtl/>
        </w:rPr>
        <w:t>שכעולה מהנאמר בדיון מסתבר שבשלב זה גם  עמדת הנאמן</w:t>
      </w:r>
      <w:r w:rsidR="00D772A0">
        <w:rPr>
          <w:rFonts w:ascii="David" w:hAnsi="David" w:hint="cs"/>
          <w:rtl/>
        </w:rPr>
        <w:t xml:space="preserve"> היא שאין הצעה</w:t>
      </w:r>
      <w:r w:rsidR="00D772A0">
        <w:rPr>
          <w:rFonts w:ascii="David" w:hAnsi="David" w:hint="cs"/>
        </w:rPr>
        <w:t xml:space="preserve"> </w:t>
      </w:r>
      <w:r w:rsidR="00D772A0">
        <w:rPr>
          <w:rFonts w:ascii="David" w:hAnsi="David" w:hint="cs"/>
          <w:rtl/>
        </w:rPr>
        <w:t xml:space="preserve">מתאימה משום נטילת הלוואה חדשה. </w:t>
      </w:r>
      <w:r w:rsidR="00AB18E2">
        <w:rPr>
          <w:rFonts w:ascii="David" w:hAnsi="David" w:hint="cs"/>
          <w:rtl/>
        </w:rPr>
        <w:t>למסקנה זאת לא נזקקתי לכך ש</w:t>
      </w:r>
      <w:r w:rsidR="00D772A0">
        <w:rPr>
          <w:rFonts w:ascii="David" w:hAnsi="David" w:hint="cs"/>
          <w:rtl/>
        </w:rPr>
        <w:t>הנאמן אף הציץ "מעבר לפרגוד" כשבירר מול נושים וראה שגם לגופה ה</w:t>
      </w:r>
      <w:r w:rsidR="00AB18E2">
        <w:rPr>
          <w:rFonts w:ascii="David" w:hAnsi="David" w:hint="cs"/>
          <w:rtl/>
        </w:rPr>
        <w:t xml:space="preserve">צעה </w:t>
      </w:r>
      <w:r w:rsidR="00D772A0">
        <w:rPr>
          <w:rFonts w:ascii="David" w:hAnsi="David" w:hint="cs"/>
          <w:rtl/>
        </w:rPr>
        <w:t xml:space="preserve"> צפויה להידחות. </w:t>
      </w:r>
    </w:p>
    <w:p w:rsidR="0048447D" w:rsidRDefault="0048447D" w:rsidP="0048447D">
      <w:pPr>
        <w:pStyle w:val="2"/>
        <w:rPr>
          <w:rFonts w:cs="David"/>
          <w:sz w:val="24"/>
          <w:szCs w:val="24"/>
        </w:rPr>
      </w:pPr>
      <w:bookmarkStart w:id="11" w:name="_Toc154422893"/>
      <w:r>
        <w:rPr>
          <w:rFonts w:hint="cs"/>
          <w:rtl/>
        </w:rPr>
        <w:t>ו. סוף דבר</w:t>
      </w:r>
      <w:bookmarkEnd w:id="11"/>
      <w:r>
        <w:rPr>
          <w:rFonts w:hint="cs"/>
          <w:rtl/>
        </w:rPr>
        <w:t xml:space="preserve"> </w:t>
      </w:r>
    </w:p>
    <w:p w:rsidR="00824BE7" w:rsidRDefault="00824BE7" w:rsidP="00824BE7">
      <w:pPr>
        <w:numPr>
          <w:ilvl w:val="0"/>
          <w:numId w:val="1"/>
        </w:numPr>
        <w:ind w:hanging="531"/>
        <w:contextualSpacing/>
        <w:jc w:val="both"/>
        <w:rPr>
          <w:rFonts w:ascii="David" w:hAnsi="David"/>
        </w:rPr>
      </w:pPr>
      <w:r>
        <w:rPr>
          <w:rFonts w:ascii="David" w:hAnsi="David"/>
          <w:rtl/>
        </w:rPr>
        <w:t>על יסוד הנתונים  שלפני עלה כי  למרבה הצער מתקיימים התנאים הקבועים בסעיף 183(א) לחוק    כי היחיד אינו מקיים את חובותיו בהליך שנפתח לבקשתו ואינו משכיל לנצל את ההזדמנות שנועדה להטות חסד עימו, לפיכך בנסיבות שנוצרו מצאתי לקבל את המלצת בעלי התפקיד ולהורות  על ביטול צו פתיחת ההליכים שניתן בעניינו.</w:t>
      </w:r>
    </w:p>
    <w:p w:rsidR="00824BE7" w:rsidRDefault="00824BE7" w:rsidP="00824BE7">
      <w:pPr>
        <w:numPr>
          <w:ilvl w:val="0"/>
          <w:numId w:val="1"/>
        </w:numPr>
        <w:ind w:hanging="531"/>
        <w:contextualSpacing/>
        <w:jc w:val="both"/>
        <w:rPr>
          <w:rFonts w:ascii="David" w:hAnsi="David"/>
        </w:rPr>
      </w:pPr>
      <w:r>
        <w:rPr>
          <w:rFonts w:ascii="David" w:hAnsi="David"/>
          <w:rtl/>
        </w:rPr>
        <w:t> עם ביטול צו פתיחת ההליכים, ההגבלות שהושתו במסגרת הצו בטלות.</w:t>
      </w:r>
    </w:p>
    <w:p w:rsidR="00824BE7" w:rsidRDefault="00824BE7" w:rsidP="00824BE7">
      <w:pPr>
        <w:numPr>
          <w:ilvl w:val="0"/>
          <w:numId w:val="1"/>
        </w:numPr>
        <w:ind w:hanging="531"/>
        <w:contextualSpacing/>
        <w:jc w:val="both"/>
        <w:rPr>
          <w:rFonts w:ascii="David" w:hAnsi="David"/>
        </w:rPr>
      </w:pPr>
      <w:r>
        <w:rPr>
          <w:rFonts w:ascii="David" w:hAnsi="David"/>
          <w:rtl/>
        </w:rPr>
        <w:t> חרף האמור, צו עיכוב היציאה מן הארץ יעמוד על כנו למשך 60  ימים נוספים.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2023</w:t>
          </w:r>
        </w:sdtContent>
      </w:sdt>
      <w:r w:rsidR="00005C8B">
        <w:rPr>
          <w:rFonts w:ascii="Arial" w:hAnsi="Arial"/>
          <w:noProof w:val="0"/>
          <w:rtl/>
        </w:rPr>
        <w:t>, בהעדר הצדדים.</w:t>
      </w:r>
    </w:p>
    <w:p w:rsidR="00C43648" w:rsidRDefault="00D103D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C324D0">
      <w:pPr>
        <w:tabs>
          <w:tab w:val="left" w:pos="2553"/>
        </w:tabs>
        <w:rPr>
          <w:rFonts w:ascii="Arial" w:hAnsi="Arial"/>
          <w:noProof w:val="0"/>
          <w:rtl/>
        </w:rPr>
      </w:pP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3DD" w:rsidRDefault="00D103DD">
      <w:r>
        <w:separator/>
      </w:r>
    </w:p>
  </w:endnote>
  <w:endnote w:type="continuationSeparator" w:id="0">
    <w:p w:rsidR="00D103DD" w:rsidRDefault="00D1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23D" w:rsidRDefault="00B632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323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323D">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23D" w:rsidRDefault="00B632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3DD" w:rsidRDefault="00D103DD">
      <w:r>
        <w:separator/>
      </w:r>
    </w:p>
  </w:footnote>
  <w:footnote w:type="continuationSeparator" w:id="0">
    <w:p w:rsidR="00D103DD" w:rsidRDefault="00D10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23D" w:rsidRDefault="00B632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103DD" w:rsidP="007D45E3">
          <w:pPr>
            <w:rPr>
              <w:b/>
              <w:bCs/>
              <w:noProof w:val="0"/>
              <w:sz w:val="26"/>
              <w:szCs w:val="26"/>
              <w:rtl/>
            </w:rPr>
          </w:pPr>
          <w:sdt>
            <w:sdtPr>
              <w:rPr>
                <w:rtl/>
              </w:rPr>
              <w:alias w:val="1170"/>
              <w:tag w:val="1170"/>
              <w:id w:val="1066377040"/>
              <w:text w:multiLine="1"/>
            </w:sdtPr>
            <w:sdtEndPr/>
            <w:sdtContent>
              <w:r w:rsidR="006B127F">
                <w:rPr>
                  <w:b/>
                  <w:bCs/>
                  <w:noProof w:val="0"/>
                  <w:sz w:val="26"/>
                  <w:szCs w:val="26"/>
                  <w:rtl/>
                </w:rPr>
                <w:t>חדל"פ</w:t>
              </w:r>
            </w:sdtContent>
          </w:sdt>
          <w:r w:rsidR="00005C8B">
            <w:rPr>
              <w:b/>
              <w:bCs/>
              <w:noProof w:val="0"/>
              <w:sz w:val="26"/>
              <w:szCs w:val="26"/>
              <w:rtl/>
            </w:rPr>
            <w:t xml:space="preserve"> </w:t>
          </w:r>
          <w:bookmarkStart w:id="12" w:name="_GoBack"/>
          <w:sdt>
            <w:sdtPr>
              <w:rPr>
                <w:rtl/>
              </w:rPr>
              <w:alias w:val="1171"/>
              <w:tag w:val="1171"/>
              <w:id w:val="257034231"/>
              <w:text w:multiLine="1"/>
            </w:sdtPr>
            <w:sdtEndPr/>
            <w:sdtContent>
              <w:r w:rsidR="006B127F">
                <w:rPr>
                  <w:b/>
                  <w:bCs/>
                  <w:noProof w:val="0"/>
                  <w:sz w:val="26"/>
                  <w:szCs w:val="26"/>
                  <w:rtl/>
                </w:rPr>
                <w:t>29606-05-22</w:t>
              </w:r>
            </w:sdtContent>
          </w:sdt>
          <w:bookmarkEnd w:id="12"/>
          <w:r w:rsidR="00005C8B">
            <w:rPr>
              <w:b/>
              <w:bCs/>
              <w:noProof w:val="0"/>
              <w:sz w:val="26"/>
              <w:szCs w:val="26"/>
              <w:rtl/>
            </w:rPr>
            <w:t xml:space="preserve"> </w:t>
          </w:r>
          <w:sdt>
            <w:sdtPr>
              <w:rPr>
                <w:rtl/>
              </w:rPr>
              <w:alias w:val="1172"/>
              <w:tag w:val="1172"/>
              <w:id w:val="-595170033"/>
              <w:text w:multiLine="1"/>
            </w:sdtPr>
            <w:sdtEndPr/>
            <w:sdtContent>
              <w:r w:rsidR="006B127F">
                <w:rPr>
                  <w:b/>
                  <w:bCs/>
                  <w:noProof w:val="0"/>
                  <w:sz w:val="26"/>
                  <w:szCs w:val="26"/>
                  <w:rtl/>
                </w:rPr>
                <w:t>ליבשיץ נ' ממונה על חדלות פירעון – מחוז תל אביב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360365_3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23D" w:rsidRDefault="00B632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62973"/>
    <w:multiLevelType w:val="hybridMultilevel"/>
    <w:tmpl w:val="D57C7418"/>
    <w:lvl w:ilvl="0" w:tplc="3EC0B17E">
      <w:start w:val="1"/>
      <w:numFmt w:val="decimal"/>
      <w:lvlText w:val="%1."/>
      <w:lvlJc w:val="left"/>
      <w:pPr>
        <w:ind w:left="501" w:hanging="360"/>
      </w:pPr>
      <w:rPr>
        <w:rFonts w:cs="Times New Roman"/>
        <w:b/>
        <w:bCs w:val="0"/>
        <w:sz w:val="24"/>
      </w:rPr>
    </w:lvl>
    <w:lvl w:ilvl="1" w:tplc="C07CE5DE">
      <w:start w:val="1"/>
      <w:numFmt w:val="hebrew1"/>
      <w:lvlText w:val="%2."/>
      <w:lvlJc w:val="center"/>
      <w:pPr>
        <w:ind w:left="1440" w:hanging="360"/>
      </w:pPr>
      <w:rPr>
        <w:rFonts w:cs="Times New Roman"/>
        <w:b w:val="0"/>
        <w:bCs w:val="0"/>
      </w:rPr>
    </w:lvl>
    <w:lvl w:ilvl="2" w:tplc="F2C87936">
      <w:start w:val="1"/>
      <w:numFmt w:val="lowerRoman"/>
      <w:lvlText w:val="%3."/>
      <w:lvlJc w:val="right"/>
      <w:pPr>
        <w:ind w:left="2160" w:hanging="180"/>
      </w:pPr>
      <w:rPr>
        <w:rFonts w:cs="Times New Roman"/>
      </w:rPr>
    </w:lvl>
    <w:lvl w:ilvl="3" w:tplc="8190F8D2">
      <w:start w:val="1"/>
      <w:numFmt w:val="hebrew1"/>
      <w:lvlText w:val="%4."/>
      <w:lvlJc w:val="left"/>
      <w:pPr>
        <w:ind w:left="2880" w:hanging="360"/>
      </w:pPr>
      <w:rPr>
        <w:rFonts w:cs="David"/>
      </w:rPr>
    </w:lvl>
    <w:lvl w:ilvl="4" w:tplc="2FE499C6">
      <w:start w:val="1"/>
      <w:numFmt w:val="lowerLetter"/>
      <w:lvlText w:val="%5."/>
      <w:lvlJc w:val="left"/>
      <w:pPr>
        <w:ind w:left="3600" w:hanging="360"/>
      </w:pPr>
      <w:rPr>
        <w:rFonts w:cs="Times New Roman"/>
      </w:rPr>
    </w:lvl>
    <w:lvl w:ilvl="5" w:tplc="D0DC3A5C">
      <w:start w:val="1"/>
      <w:numFmt w:val="lowerRoman"/>
      <w:lvlText w:val="%6."/>
      <w:lvlJc w:val="right"/>
      <w:pPr>
        <w:ind w:left="4320" w:hanging="180"/>
      </w:pPr>
      <w:rPr>
        <w:rFonts w:cs="Times New Roman"/>
      </w:rPr>
    </w:lvl>
    <w:lvl w:ilvl="6" w:tplc="46F80384">
      <w:start w:val="1"/>
      <w:numFmt w:val="decimal"/>
      <w:lvlText w:val="%7."/>
      <w:lvlJc w:val="left"/>
      <w:pPr>
        <w:ind w:left="5040" w:hanging="360"/>
      </w:pPr>
      <w:rPr>
        <w:rFonts w:cs="Times New Roman"/>
      </w:rPr>
    </w:lvl>
    <w:lvl w:ilvl="7" w:tplc="621A127E">
      <w:start w:val="1"/>
      <w:numFmt w:val="lowerLetter"/>
      <w:lvlText w:val="%8."/>
      <w:lvlJc w:val="left"/>
      <w:pPr>
        <w:ind w:left="5760" w:hanging="360"/>
      </w:pPr>
      <w:rPr>
        <w:rFonts w:cs="Times New Roman"/>
      </w:rPr>
    </w:lvl>
    <w:lvl w:ilvl="8" w:tplc="D24A0604">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76307"/>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276307&amp;lt;/CaseID&amp;gt;_x000d__x000a_        &amp;lt;DocumentID&amp;gt;429534239&amp;lt;/DocumentID&amp;gt;_x000d__x000a_      &amp;lt;/dt_DocumentCase&amp;gt;_x000d__x000a_      &amp;lt;dt_Document diffgr:id=&amp;quot;dt_Document1&amp;quot; msdata:rowOrder=&amp;quot;0&amp;quot;&amp;gt;_x000d__x000a_        &amp;lt;DocumentID&amp;gt;429534239&amp;lt;/DocumentID&amp;gt;_x000d__x000a_        &amp;lt;DocumentMainID&amp;gt;0&amp;lt;/DocumentMainID&amp;gt;_x000d__x000a_        &amp;lt;CaseID&amp;gt;79276307&amp;lt;/CaseID&amp;gt;_x000d__x000a_        &amp;lt;DocumentIncludedDate&amp;gt;2023-12-25T18:51:52.923+02:00&amp;lt;/DocumentIncludedDate&amp;gt;_x000d__x000a_        &amp;lt;DocumentDesc&amp;gt;החלטה  שניתנה ע&amp;quot;י  אילן בן-דור&amp;lt;/DocumentDesc&amp;gt;_x000d__x000a_        &amp;lt;DocumentDirectionID&amp;gt;2&amp;lt;/DocumentDirectionID&amp;gt;_x000d__x000a_        &amp;lt;SourceID&amp;gt;1&amp;lt;/SourceID&amp;gt;_x000d__x000a_        &amp;lt;VersionNumber&amp;gt;3&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2-25T18:51:52.923+02:00&amp;lt;/DocumentSavingDate&amp;gt;_x000d__x000a_        &amp;lt;DocumentChangeDate&amp;gt;2023-12-25T18:51:54.627+02:00&amp;lt;/DocumentChangeDate&amp;gt;_x000d__x000a_        &amp;lt;IsScanned&amp;gt;false&amp;lt;/IsScanned&amp;gt;_x000d__x000a_        &amp;lt;PageQuantity&amp;gt;0&amp;lt;/PageQuantity&amp;gt;_x000d__x000a_        &amp;lt;DocumentStatusID&amp;gt;2&amp;lt;/DocumentStatusID&amp;gt;_x000d__x000a_        &amp;lt;DocumentStatusChangeDate&amp;gt;2023-12-25T18:51:54.627+02: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29428672&amp;lt;/OriginalDocumentID&amp;gt;_x000d__x000a_        &amp;lt;PrivillegeID&amp;gt;1&amp;lt;/PrivillegeID&amp;gt;_x000d__x000a_        &amp;lt;FromPage&amp;gt;0&amp;lt;/FromPage&amp;gt;_x000d__x000a_        &amp;lt;ToPage&amp;gt;0&amp;lt;/ToPage&amp;gt;_x000d__x000a_        &amp;lt;FileID&amp;gt;d0dae3a18c010000090037f6a88d2415&amp;lt;/FileID&amp;gt;_x000d__x000a_        &amp;lt;URL&amp;gt;\\CTLNFSV02\doc_repository\571\346\05eedba18c010000090037f6a88d2022_copy.docx&amp;lt;/URL&amp;gt;_x000d__x000a_        &amp;lt;OlivePriority&amp;gt;1&amp;lt;/OlivePriority&amp;gt;_x000d__x000a_        &amp;lt;MetaDataTypeID&amp;gt;1&amp;lt;/MetaDataTypeID&amp;gt;_x000d__x000a_        &amp;lt;MetaDataChangeDate&amp;gt;2023-12-25T18:51:54.62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3-12-25T14:15:27.8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25T14:15:27.85+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669AE"/>
    <w:rsid w:val="00082AB2"/>
    <w:rsid w:val="00085FA6"/>
    <w:rsid w:val="000906FE"/>
    <w:rsid w:val="00096AF7"/>
    <w:rsid w:val="000B193E"/>
    <w:rsid w:val="000B2697"/>
    <w:rsid w:val="000B344B"/>
    <w:rsid w:val="000C3B0F"/>
    <w:rsid w:val="000C3B60"/>
    <w:rsid w:val="000E0DD2"/>
    <w:rsid w:val="000E3AF1"/>
    <w:rsid w:val="000F0BC8"/>
    <w:rsid w:val="000F0DD6"/>
    <w:rsid w:val="00107E6D"/>
    <w:rsid w:val="0011194C"/>
    <w:rsid w:val="0011424C"/>
    <w:rsid w:val="001173C6"/>
    <w:rsid w:val="00120A2A"/>
    <w:rsid w:val="001367BC"/>
    <w:rsid w:val="00144D2A"/>
    <w:rsid w:val="0014653E"/>
    <w:rsid w:val="0016290F"/>
    <w:rsid w:val="00180519"/>
    <w:rsid w:val="00191C82"/>
    <w:rsid w:val="001B4E16"/>
    <w:rsid w:val="001C4003"/>
    <w:rsid w:val="001D4DBF"/>
    <w:rsid w:val="001D5BCA"/>
    <w:rsid w:val="001E75CA"/>
    <w:rsid w:val="002265FF"/>
    <w:rsid w:val="00271B56"/>
    <w:rsid w:val="002C344E"/>
    <w:rsid w:val="002E35DA"/>
    <w:rsid w:val="002E75E9"/>
    <w:rsid w:val="002F0B1E"/>
    <w:rsid w:val="00307A6A"/>
    <w:rsid w:val="00307C40"/>
    <w:rsid w:val="00320433"/>
    <w:rsid w:val="003230C7"/>
    <w:rsid w:val="00327E50"/>
    <w:rsid w:val="0033597A"/>
    <w:rsid w:val="00343D89"/>
    <w:rsid w:val="003452D5"/>
    <w:rsid w:val="00362612"/>
    <w:rsid w:val="0036743F"/>
    <w:rsid w:val="003674D9"/>
    <w:rsid w:val="00370E80"/>
    <w:rsid w:val="003715DD"/>
    <w:rsid w:val="003823E0"/>
    <w:rsid w:val="00396763"/>
    <w:rsid w:val="003A3A44"/>
    <w:rsid w:val="003A4521"/>
    <w:rsid w:val="003D1C8C"/>
    <w:rsid w:val="0040096C"/>
    <w:rsid w:val="00405FAA"/>
    <w:rsid w:val="00414F1F"/>
    <w:rsid w:val="0043125D"/>
    <w:rsid w:val="0043502B"/>
    <w:rsid w:val="004443AC"/>
    <w:rsid w:val="00444B02"/>
    <w:rsid w:val="00451E28"/>
    <w:rsid w:val="00462C62"/>
    <w:rsid w:val="00465D36"/>
    <w:rsid w:val="00466AB8"/>
    <w:rsid w:val="0048447D"/>
    <w:rsid w:val="004C17EE"/>
    <w:rsid w:val="004C4BDF"/>
    <w:rsid w:val="004D1187"/>
    <w:rsid w:val="004D3AA0"/>
    <w:rsid w:val="004E1987"/>
    <w:rsid w:val="004E2E15"/>
    <w:rsid w:val="004E6E3C"/>
    <w:rsid w:val="004F32FA"/>
    <w:rsid w:val="00520898"/>
    <w:rsid w:val="00523621"/>
    <w:rsid w:val="00524986"/>
    <w:rsid w:val="005268F6"/>
    <w:rsid w:val="00534284"/>
    <w:rsid w:val="00547DB7"/>
    <w:rsid w:val="0056601A"/>
    <w:rsid w:val="005E51CD"/>
    <w:rsid w:val="005F4F09"/>
    <w:rsid w:val="0061431B"/>
    <w:rsid w:val="006221CB"/>
    <w:rsid w:val="00622BAA"/>
    <w:rsid w:val="006306CF"/>
    <w:rsid w:val="00631D9D"/>
    <w:rsid w:val="00644E9A"/>
    <w:rsid w:val="00671BD5"/>
    <w:rsid w:val="006805C1"/>
    <w:rsid w:val="0068075B"/>
    <w:rsid w:val="00686C21"/>
    <w:rsid w:val="006931C1"/>
    <w:rsid w:val="00694556"/>
    <w:rsid w:val="006B127F"/>
    <w:rsid w:val="006B1329"/>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2A23"/>
    <w:rsid w:val="007E6115"/>
    <w:rsid w:val="007F4609"/>
    <w:rsid w:val="00814468"/>
    <w:rsid w:val="008176A1"/>
    <w:rsid w:val="00820005"/>
    <w:rsid w:val="00824BE7"/>
    <w:rsid w:val="00844318"/>
    <w:rsid w:val="00863F5D"/>
    <w:rsid w:val="00870890"/>
    <w:rsid w:val="00873602"/>
    <w:rsid w:val="00875D12"/>
    <w:rsid w:val="0088479D"/>
    <w:rsid w:val="00891F42"/>
    <w:rsid w:val="008967C1"/>
    <w:rsid w:val="00896889"/>
    <w:rsid w:val="008A6E97"/>
    <w:rsid w:val="008C546D"/>
    <w:rsid w:val="008C5714"/>
    <w:rsid w:val="008D10B2"/>
    <w:rsid w:val="00903896"/>
    <w:rsid w:val="00906F3D"/>
    <w:rsid w:val="009239C3"/>
    <w:rsid w:val="0094424E"/>
    <w:rsid w:val="00955642"/>
    <w:rsid w:val="009622DF"/>
    <w:rsid w:val="0096493F"/>
    <w:rsid w:val="00967DFF"/>
    <w:rsid w:val="00994341"/>
    <w:rsid w:val="009A33B8"/>
    <w:rsid w:val="009D1A48"/>
    <w:rsid w:val="009E1CE7"/>
    <w:rsid w:val="009E4EA5"/>
    <w:rsid w:val="009F164B"/>
    <w:rsid w:val="009F323C"/>
    <w:rsid w:val="00A03D18"/>
    <w:rsid w:val="00A3392B"/>
    <w:rsid w:val="00A85E34"/>
    <w:rsid w:val="00A9144F"/>
    <w:rsid w:val="00A94B64"/>
    <w:rsid w:val="00AA3229"/>
    <w:rsid w:val="00AA7596"/>
    <w:rsid w:val="00AB18E2"/>
    <w:rsid w:val="00AB5E52"/>
    <w:rsid w:val="00AC3B02"/>
    <w:rsid w:val="00AC3B7B"/>
    <w:rsid w:val="00AC5209"/>
    <w:rsid w:val="00AE0E34"/>
    <w:rsid w:val="00AE729E"/>
    <w:rsid w:val="00AE7752"/>
    <w:rsid w:val="00AF7FDA"/>
    <w:rsid w:val="00B5356E"/>
    <w:rsid w:val="00B6323D"/>
    <w:rsid w:val="00B809AD"/>
    <w:rsid w:val="00B80CBD"/>
    <w:rsid w:val="00B86096"/>
    <w:rsid w:val="00B86A85"/>
    <w:rsid w:val="00B964D9"/>
    <w:rsid w:val="00BA0A7C"/>
    <w:rsid w:val="00BA517C"/>
    <w:rsid w:val="00BA6135"/>
    <w:rsid w:val="00BB3D05"/>
    <w:rsid w:val="00BB73BE"/>
    <w:rsid w:val="00BC2D89"/>
    <w:rsid w:val="00BD6531"/>
    <w:rsid w:val="00BE05B2"/>
    <w:rsid w:val="00BF1908"/>
    <w:rsid w:val="00C011FF"/>
    <w:rsid w:val="00C16EFA"/>
    <w:rsid w:val="00C22D93"/>
    <w:rsid w:val="00C23458"/>
    <w:rsid w:val="00C31120"/>
    <w:rsid w:val="00C324D0"/>
    <w:rsid w:val="00C34482"/>
    <w:rsid w:val="00C43648"/>
    <w:rsid w:val="00C50A9F"/>
    <w:rsid w:val="00C642FA"/>
    <w:rsid w:val="00C8328C"/>
    <w:rsid w:val="00CC7622"/>
    <w:rsid w:val="00CD608F"/>
    <w:rsid w:val="00CF6BB7"/>
    <w:rsid w:val="00D04AA4"/>
    <w:rsid w:val="00D103DD"/>
    <w:rsid w:val="00D2393C"/>
    <w:rsid w:val="00D27982"/>
    <w:rsid w:val="00D33B86"/>
    <w:rsid w:val="00D44968"/>
    <w:rsid w:val="00D53924"/>
    <w:rsid w:val="00D55D0C"/>
    <w:rsid w:val="00D66E7B"/>
    <w:rsid w:val="00D772A0"/>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4435"/>
    <w:rsid w:val="00E80CBE"/>
    <w:rsid w:val="00E9269D"/>
    <w:rsid w:val="00E962E3"/>
    <w:rsid w:val="00EB6C79"/>
    <w:rsid w:val="00EC37E9"/>
    <w:rsid w:val="00EC7D1B"/>
    <w:rsid w:val="00ED1645"/>
    <w:rsid w:val="00F038D8"/>
    <w:rsid w:val="00F06995"/>
    <w:rsid w:val="00F12D66"/>
    <w:rsid w:val="00F13623"/>
    <w:rsid w:val="00F44D1D"/>
    <w:rsid w:val="00F84B6D"/>
    <w:rsid w:val="00F957E8"/>
    <w:rsid w:val="00FA311A"/>
    <w:rsid w:val="00FA5FDA"/>
    <w:rsid w:val="00FB6AB3"/>
    <w:rsid w:val="00FC42E5"/>
    <w:rsid w:val="00FD1419"/>
    <w:rsid w:val="00FD79E4"/>
    <w:rsid w:val="00FE2894"/>
    <w:rsid w:val="00FF11C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ED16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24BE7"/>
    <w:pPr>
      <w:keepNext/>
      <w:keepLines/>
      <w:spacing w:before="40" w:line="256" w:lineRule="auto"/>
      <w:outlineLvl w:val="1"/>
    </w:pPr>
    <w:rPr>
      <w:rFonts w:asciiTheme="majorHAnsi" w:eastAsiaTheme="majorEastAsia" w:hAnsiTheme="majorHAnsi" w:cstheme="majorBidi"/>
      <w:noProof w:val="0"/>
      <w:color w:val="365F91" w:themeColor="accent1" w:themeShade="BF"/>
      <w:sz w:val="26"/>
      <w:szCs w:val="26"/>
    </w:rPr>
  </w:style>
  <w:style w:type="paragraph" w:styleId="3">
    <w:name w:val="heading 3"/>
    <w:basedOn w:val="a"/>
    <w:next w:val="a"/>
    <w:link w:val="30"/>
    <w:uiPriority w:val="9"/>
    <w:unhideWhenUsed/>
    <w:qFormat/>
    <w:rsid w:val="00824BE7"/>
    <w:pPr>
      <w:keepNext/>
      <w:keepLines/>
      <w:spacing w:before="40" w:line="256" w:lineRule="auto"/>
      <w:outlineLvl w:val="2"/>
    </w:pPr>
    <w:rPr>
      <w:rFonts w:asciiTheme="majorHAnsi" w:eastAsiaTheme="majorEastAsia" w:hAnsiTheme="majorHAnsi" w:cstheme="majorBidi"/>
      <w:noProof w:val="0"/>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20">
    <w:name w:val="כותרת 2 תו"/>
    <w:basedOn w:val="a0"/>
    <w:link w:val="2"/>
    <w:uiPriority w:val="9"/>
    <w:rsid w:val="00824BE7"/>
    <w:rPr>
      <w:rFonts w:asciiTheme="majorHAnsi" w:eastAsiaTheme="majorEastAsia" w:hAnsiTheme="majorHAnsi" w:cstheme="majorBidi"/>
      <w:color w:val="365F91" w:themeColor="accent1" w:themeShade="BF"/>
      <w:sz w:val="26"/>
      <w:szCs w:val="26"/>
    </w:rPr>
  </w:style>
  <w:style w:type="character" w:customStyle="1" w:styleId="30">
    <w:name w:val="כותרת 3 תו"/>
    <w:basedOn w:val="a0"/>
    <w:link w:val="3"/>
    <w:uiPriority w:val="9"/>
    <w:rsid w:val="00824BE7"/>
    <w:rPr>
      <w:rFonts w:asciiTheme="majorHAnsi" w:eastAsiaTheme="majorEastAsia" w:hAnsiTheme="majorHAnsi" w:cstheme="majorBidi"/>
      <w:color w:val="243F60" w:themeColor="accent1" w:themeShade="7F"/>
      <w:sz w:val="24"/>
      <w:szCs w:val="24"/>
    </w:rPr>
  </w:style>
  <w:style w:type="character" w:customStyle="1" w:styleId="ad">
    <w:name w:val="פיסקת רשימה תו"/>
    <w:basedOn w:val="a0"/>
    <w:link w:val="ae"/>
    <w:uiPriority w:val="34"/>
    <w:locked/>
    <w:rsid w:val="00824BE7"/>
  </w:style>
  <w:style w:type="paragraph" w:styleId="ae">
    <w:name w:val="List Paragraph"/>
    <w:basedOn w:val="a"/>
    <w:link w:val="ad"/>
    <w:uiPriority w:val="34"/>
    <w:qFormat/>
    <w:rsid w:val="00824BE7"/>
    <w:pPr>
      <w:spacing w:after="160" w:line="256" w:lineRule="auto"/>
      <w:ind w:left="720"/>
      <w:contextualSpacing/>
    </w:pPr>
    <w:rPr>
      <w:rFonts w:cs="Times New Roman"/>
      <w:noProof w:val="0"/>
      <w:sz w:val="20"/>
      <w:szCs w:val="20"/>
    </w:rPr>
  </w:style>
  <w:style w:type="character" w:customStyle="1" w:styleId="P00">
    <w:name w:val="P00 תו"/>
    <w:link w:val="P000"/>
    <w:locked/>
    <w:rsid w:val="00824BE7"/>
    <w:rPr>
      <w:noProof/>
      <w:szCs w:val="26"/>
      <w:lang w:eastAsia="he-IL"/>
    </w:rPr>
  </w:style>
  <w:style w:type="paragraph" w:customStyle="1" w:styleId="P000">
    <w:name w:val="P00"/>
    <w:link w:val="P00"/>
    <w:rsid w:val="00824BE7"/>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sid w:val="00824BE7"/>
    <w:rPr>
      <w:rFonts w:ascii="Times New Roman" w:hAnsi="Times New Roman" w:cs="Times New Roman" w:hint="default"/>
      <w:sz w:val="32"/>
      <w:szCs w:val="32"/>
    </w:rPr>
  </w:style>
  <w:style w:type="character" w:customStyle="1" w:styleId="10">
    <w:name w:val="כותרת 1 תו"/>
    <w:basedOn w:val="a0"/>
    <w:link w:val="1"/>
    <w:rsid w:val="00ED1645"/>
    <w:rPr>
      <w:rFonts w:asciiTheme="majorHAnsi" w:eastAsiaTheme="majorEastAsia" w:hAnsiTheme="majorHAnsi" w:cstheme="majorBidi"/>
      <w:noProof/>
      <w:color w:val="365F91" w:themeColor="accent1" w:themeShade="BF"/>
      <w:sz w:val="32"/>
      <w:szCs w:val="32"/>
    </w:rPr>
  </w:style>
  <w:style w:type="paragraph" w:styleId="af">
    <w:name w:val="TOC Heading"/>
    <w:basedOn w:val="1"/>
    <w:next w:val="a"/>
    <w:uiPriority w:val="39"/>
    <w:unhideWhenUsed/>
    <w:qFormat/>
    <w:rsid w:val="00ED1645"/>
    <w:pPr>
      <w:spacing w:line="259" w:lineRule="auto"/>
      <w:outlineLvl w:val="9"/>
    </w:pPr>
    <w:rPr>
      <w:noProof w:val="0"/>
      <w:rtl/>
      <w:cs/>
    </w:rPr>
  </w:style>
  <w:style w:type="paragraph" w:styleId="TOC2">
    <w:name w:val="toc 2"/>
    <w:basedOn w:val="a"/>
    <w:next w:val="a"/>
    <w:autoRedefine/>
    <w:uiPriority w:val="39"/>
    <w:unhideWhenUsed/>
    <w:rsid w:val="00ED1645"/>
    <w:pPr>
      <w:spacing w:after="100"/>
      <w:ind w:left="240"/>
    </w:pPr>
  </w:style>
  <w:style w:type="paragraph" w:styleId="TOC3">
    <w:name w:val="toc 3"/>
    <w:basedOn w:val="a"/>
    <w:next w:val="a"/>
    <w:autoRedefine/>
    <w:uiPriority w:val="39"/>
    <w:unhideWhenUsed/>
    <w:rsid w:val="00ED1645"/>
    <w:pPr>
      <w:spacing w:after="100"/>
      <w:ind w:left="480"/>
    </w:pPr>
  </w:style>
  <w:style w:type="character" w:styleId="Hyperlink">
    <w:name w:val="Hyperlink"/>
    <w:basedOn w:val="a0"/>
    <w:uiPriority w:val="99"/>
    <w:unhideWhenUsed/>
    <w:rsid w:val="00ED16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069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12902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F1D1A" w:rsidP="00EF1D1A">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11830" w:rsidP="00E11830">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A97FD8D11CEA493FB869A797FB33F1CD"/>
        <w:category>
          <w:name w:val="כללי"/>
          <w:gallery w:val="placeholder"/>
        </w:category>
        <w:types>
          <w:type w:val="bbPlcHdr"/>
        </w:types>
        <w:behaviors>
          <w:behavior w:val="content"/>
        </w:behaviors>
        <w:guid w:val="{D30FC6F9-3CDF-4BCA-AA81-14934BCC728B}"/>
      </w:docPartPr>
      <w:docPartBody>
        <w:p w:rsidR="002828BB" w:rsidRDefault="00E11830" w:rsidP="00E11830">
          <w:pPr>
            <w:pStyle w:val="A97FD8D11CEA493FB869A797FB33F1CD2"/>
          </w:pPr>
          <w:r w:rsidRPr="00405FAA">
            <w:rPr>
              <w:rFonts w:ascii="Arial" w:hAnsi="Arial" w:hint="eastAsia"/>
              <w:b/>
              <w:bCs/>
              <w:noProof w:val="0"/>
              <w:sz w:val="26"/>
              <w:szCs w:val="26"/>
              <w:rtl/>
            </w:rPr>
            <w:t>סוג</w:t>
          </w:r>
          <w:r w:rsidRPr="00405FAA">
            <w:rPr>
              <w:rFonts w:ascii="Arial" w:hAnsi="Arial"/>
              <w:b/>
              <w:bCs/>
              <w:noProof w:val="0"/>
              <w:sz w:val="26"/>
              <w:szCs w:val="26"/>
              <w:rtl/>
            </w:rPr>
            <w:t xml:space="preserve"> זיהוי צד א'</w:t>
          </w:r>
        </w:p>
      </w:docPartBody>
    </w:docPart>
    <w:docPart>
      <w:docPartPr>
        <w:name w:val="102EE9A76523462AB1E45F463AE1E9AF"/>
        <w:category>
          <w:name w:val="כללי"/>
          <w:gallery w:val="placeholder"/>
        </w:category>
        <w:types>
          <w:type w:val="bbPlcHdr"/>
        </w:types>
        <w:behaviors>
          <w:behavior w:val="content"/>
        </w:behaviors>
        <w:guid w:val="{0736B044-5E0B-4D9B-B4E5-D9B87AF1F844}"/>
      </w:docPartPr>
      <w:docPartBody>
        <w:p w:rsidR="002828BB" w:rsidRDefault="00E11830" w:rsidP="00E11830">
          <w:pPr>
            <w:pStyle w:val="102EE9A76523462AB1E45F463AE1E9AF2"/>
          </w:pPr>
          <w:r w:rsidRPr="00405FAA">
            <w:rPr>
              <w:rFonts w:ascii="Arial" w:hAnsi="Arial" w:hint="eastAsia"/>
              <w:b/>
              <w:bCs/>
              <w:noProof w:val="0"/>
              <w:sz w:val="26"/>
              <w:szCs w:val="26"/>
              <w:rtl/>
            </w:rPr>
            <w:t>מספר</w:t>
          </w:r>
          <w:r w:rsidRPr="00405FAA">
            <w:rPr>
              <w:rFonts w:ascii="Arial" w:hAnsi="Arial"/>
              <w:b/>
              <w:bCs/>
              <w:noProof w:val="0"/>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B1B0B"/>
    <w:rsid w:val="001B35E1"/>
    <w:rsid w:val="002356A9"/>
    <w:rsid w:val="002828BB"/>
    <w:rsid w:val="002D02C4"/>
    <w:rsid w:val="00345C9D"/>
    <w:rsid w:val="0048651F"/>
    <w:rsid w:val="005157ED"/>
    <w:rsid w:val="00556D67"/>
    <w:rsid w:val="006855BA"/>
    <w:rsid w:val="00793995"/>
    <w:rsid w:val="007C6F98"/>
    <w:rsid w:val="007E254A"/>
    <w:rsid w:val="008B4366"/>
    <w:rsid w:val="009133C7"/>
    <w:rsid w:val="009178E4"/>
    <w:rsid w:val="00961B27"/>
    <w:rsid w:val="00AA7CE3"/>
    <w:rsid w:val="00B50DB2"/>
    <w:rsid w:val="00B91FA3"/>
    <w:rsid w:val="00BE6557"/>
    <w:rsid w:val="00C96C06"/>
    <w:rsid w:val="00D24521"/>
    <w:rsid w:val="00E11830"/>
    <w:rsid w:val="00E31BF6"/>
    <w:rsid w:val="00E81DB1"/>
    <w:rsid w:val="00EF1D1A"/>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1D1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1B35E1"/>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1B35E1"/>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1B35E1"/>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1B35E1"/>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1B35E1"/>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1B35E1"/>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1B35E1"/>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1B35E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1B35E1"/>
    <w:pPr>
      <w:bidi/>
      <w:spacing w:after="0" w:line="240" w:lineRule="auto"/>
    </w:pPr>
    <w:rPr>
      <w:rFonts w:ascii="Times New Roman" w:eastAsia="Times New Roman" w:hAnsi="Times New Roman" w:cs="David"/>
      <w:noProof/>
      <w:sz w:val="24"/>
      <w:szCs w:val="24"/>
    </w:rPr>
  </w:style>
  <w:style w:type="paragraph" w:customStyle="1" w:styleId="A97FD8D11CEA493FB869A797FB33F1CD">
    <w:name w:val="A97FD8D11CEA493FB869A797FB33F1CD"/>
    <w:rsid w:val="002828BB"/>
    <w:pPr>
      <w:bidi/>
      <w:spacing w:after="0" w:line="240" w:lineRule="auto"/>
    </w:pPr>
    <w:rPr>
      <w:rFonts w:ascii="Times New Roman" w:eastAsia="Times New Roman" w:hAnsi="Times New Roman" w:cs="David"/>
      <w:noProof/>
      <w:sz w:val="24"/>
      <w:szCs w:val="24"/>
    </w:rPr>
  </w:style>
  <w:style w:type="paragraph" w:customStyle="1" w:styleId="102EE9A76523462AB1E45F463AE1E9AF">
    <w:name w:val="102EE9A76523462AB1E45F463AE1E9AF"/>
    <w:rsid w:val="002828BB"/>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2828BB"/>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2828BB"/>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2828BB"/>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2828BB"/>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2828BB"/>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2828BB"/>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2828BB"/>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828BB"/>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2828BB"/>
    <w:pPr>
      <w:bidi/>
      <w:spacing w:after="0" w:line="240" w:lineRule="auto"/>
    </w:pPr>
    <w:rPr>
      <w:rFonts w:ascii="Times New Roman" w:eastAsia="Times New Roman" w:hAnsi="Times New Roman" w:cs="David"/>
      <w:noProof/>
      <w:sz w:val="24"/>
      <w:szCs w:val="24"/>
    </w:rPr>
  </w:style>
  <w:style w:type="paragraph" w:customStyle="1" w:styleId="A97FD8D11CEA493FB869A797FB33F1CD1">
    <w:name w:val="A97FD8D11CEA493FB869A797FB33F1CD1"/>
    <w:rsid w:val="006855BA"/>
    <w:pPr>
      <w:bidi/>
      <w:spacing w:after="0" w:line="240" w:lineRule="auto"/>
    </w:pPr>
    <w:rPr>
      <w:rFonts w:ascii="Times New Roman" w:eastAsia="Times New Roman" w:hAnsi="Times New Roman" w:cs="David"/>
      <w:noProof/>
      <w:sz w:val="24"/>
      <w:szCs w:val="24"/>
    </w:rPr>
  </w:style>
  <w:style w:type="paragraph" w:customStyle="1" w:styleId="102EE9A76523462AB1E45F463AE1E9AF1">
    <w:name w:val="102EE9A76523462AB1E45F463AE1E9AF1"/>
    <w:rsid w:val="006855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6855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6855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6855B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6855B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6855B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6855B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6855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6855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6855BA"/>
    <w:pPr>
      <w:bidi/>
      <w:spacing w:after="0" w:line="240" w:lineRule="auto"/>
    </w:pPr>
    <w:rPr>
      <w:rFonts w:ascii="Times New Roman" w:eastAsia="Times New Roman" w:hAnsi="Times New Roman" w:cs="David"/>
      <w:noProof/>
      <w:sz w:val="24"/>
      <w:szCs w:val="24"/>
    </w:rPr>
  </w:style>
  <w:style w:type="paragraph" w:customStyle="1" w:styleId="A97FD8D11CEA493FB869A797FB33F1CD2">
    <w:name w:val="A97FD8D11CEA493FB869A797FB33F1CD2"/>
    <w:rsid w:val="00E11830"/>
    <w:pPr>
      <w:bidi/>
      <w:spacing w:after="0" w:line="240" w:lineRule="auto"/>
    </w:pPr>
    <w:rPr>
      <w:rFonts w:ascii="Times New Roman" w:eastAsia="Times New Roman" w:hAnsi="Times New Roman" w:cs="David"/>
      <w:noProof/>
      <w:sz w:val="24"/>
      <w:szCs w:val="24"/>
    </w:rPr>
  </w:style>
  <w:style w:type="paragraph" w:customStyle="1" w:styleId="102EE9A76523462AB1E45F463AE1E9AF2">
    <w:name w:val="102EE9A76523462AB1E45F463AE1E9AF2"/>
    <w:rsid w:val="00E11830"/>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E11830"/>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E11830"/>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E11830"/>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E11830"/>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E11830"/>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E11830"/>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11830"/>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11830"/>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EF1D1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אוהד הראל</FullName>
        <FirstName>אוהד</FirstName>
        <LastName>הראל</LastName>
        <PartyPropertyName/>
        <AuthenticationTypeAndNumber>מ.ר. 58583</AuthenticationTypeAndNumber>
        <RepresentatedOrRepresentativesNames>עו"ד אוהד הראל (נאמן)</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245687875</CasePartyID>
        <PartyTypeID>2</PartyTypeID>
        <ActivityStatusID>1</ActivityStatusID>
        <PartyAliasID>23</PartyAliasID>
        <PartyAliasName>בא כוח משיבים</PartyAliasName>
        <LegalEntityID>71154511</LegalEntityID>
        <CaseLegalEntityID>121263021</CaseLegalEntityID>
        <AuthenticationTypeID>4</AuthenticationTypeID>
        <AuthenticationTypeName>מ.ר.</AuthenticationTypeName>
        <LegalEntityNumber>58583</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זבוטנסקי 9 בני ברק אצל משרד ברוכשטיין
 רייף רוהר</FullAddress>
        <EmailAddress>ohad@harel.law</EmailAddress>
        <MotionID>0</MotionID>
        <CasePleaID>0</CasePleaID>
        <LinkedCaseID>0</LinkedCaseID>
        <PartyID>2</PartyID>
        <CasePartyCategoryID>2</CasePartyCategoryID>
        <LegalEntityAddressID>87748752</LegalEntityAddressID>
        <LegalEntityEmailAddressID>68254186</LegalEntityEmailAddressID>
        <PleaTypeID>5</PleaTypeID>
        <LawyerOfficeName>משרד עו"ד אוהד הראל</LawyerOfficeName>
        <LawyerOfficeID>71154512</LawyerOfficeID>
        <GroupPartyAlias/>
        <IsConverted>false</IsConverted>
        <LegalEntityNameID>74104426</LegalEntityNameID>
        <RepresentatedNamesOfAssistant/>
        <LegalEntityTypeID>4</LegalEntityTypeID>
        <IsVerdictExists>false</IsVerdictExists>
        <IsAsirAzir>false</IsAsirAzir>
        <IsPublicationProhibited>false</IsPublicationProhibited>
        <PublicationProhibitedFullName>אוהד הראל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לאוניד רובינוב</FullName>
        <FirstName>לאוניד</FirstName>
        <LastName>רובינוב</LastName>
        <PartyPropertyName/>
        <AuthenticationTypeAndNumber>מ.ר. 23837</AuthenticationTypeAndNumber>
        <RepresentatedOrRepresentativesNames>לאון ליבשיץ</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241001925</CasePartyID>
        <PartyTypeID>2</PartyTypeID>
        <ActivityStatusID>1</ActivityStatusID>
        <PartyAliasID>22</PartyAliasID>
        <PartyAliasName>בא כוח מבקשים</PartyAliasName>
        <OrdinalNumber>1</OrdinalNumber>
        <LegalEntityID>380553</LegalEntityID>
        <CaseLegalEntityID>119767258</CaseLegalEntityID>
        <AuthenticationTypeID>4</AuthenticationTypeID>
        <AuthenticationTypeName>מ.ר.</AuthenticationTypeName>
        <LegalEntityNumber>23837</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אחד העם 3 חולון דירה 1</FullAddress>
        <EmailAddress>leon0542007773@gmail.com</EmailAddress>
        <MotionID>0</MotionID>
        <CasePleaID>0</CasePleaID>
        <LinkedCaseID>0</LinkedCaseID>
        <PartyID>1</PartyID>
        <CasePartyCategoryID>2</CasePartyCategoryID>
        <LegalEntityAddressID>81057248</LegalEntityAddressID>
        <LegalEntityEmailAddressID>68269059</LegalEntityEmailAddressID>
        <PleaTypeID>5</PleaTypeID>
        <LawyerOfficeName>משרד עו"ד: לאוניד רובינוב</LawyerOfficeName>
        <LawyerOfficeID>421197</LawyerOfficeID>
        <GroupPartyAlias/>
        <IsConverted>false</IsConverted>
        <LegalEntityNameID>1537</LegalEntityNameID>
        <RepresentatedNamesOfAssistant/>
        <LegalEntityTypeID>4</LegalEntityTypeID>
        <IsVerdictExists>false</IsVerdictExists>
        <IsAsirAzir>false</IsAsirAzir>
        <IsPublicationProhibited>false</IsPublicationProhibited>
        <PublicationProhibitedFullName>לאוניד רובינוב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לאון ליבשיץ</FullName>
        <FirstName>לאון</FirstName>
        <LastName>ליבשיץ</LastName>
        <PartyPropertyName/>
        <AuthenticationTypeAndNumber>ת"ז 320850662</AuthenticationTypeAndNumber>
        <RepresentatedOrRepresentativesNames>לאוניד רובינוב</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241001924</CasePartyID>
        <PartyTypeID>1</PartyTypeID>
        <ActivityStatusID>1</ActivityStatusID>
        <PartyAliasID>3</PartyAliasID>
        <PartyAliasName>מבקש</PartyAliasName>
        <OrdinalNumber>1</OrdinalNumber>
        <LegalEntityID>16716830</LegalEntityID>
        <CaseLegalEntityID>119767257</CaseLegalEntityID>
        <AuthenticationTypeID>1</AuthenticationTypeID>
        <AuthenticationTypeName>ת"ז</AuthenticationTypeName>
        <LegalEntityNumber>320850662</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חרוד 119 ישרש </FullAddress>
        <MotionID>0</MotionID>
        <CasePleaID>0</CasePleaID>
        <FatherName>ולדימיר</FatherName>
        <LinkedCaseID>0</LinkedCaseID>
        <PartyID>1</PartyID>
        <CasePartyCategoryID>2</CasePartyCategoryID>
        <LegalEntityAddressID>86508449</LegalEntityAddressID>
        <FictitiousPoliceNumber/>
        <PleaTypeID>5</PleaTypeID>
        <GroupPartyAlias>מבקשים</GroupPartyAlias>
        <IsConverted>false</IsConverted>
        <LegalEntityRegisteredNameID>4730737</LegalEntityRegisteredNameID>
        <LegalEntityNameID>93108820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לאון ליבשיץ</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241001926</CasePartyID>
        <PartyTypeID>1</PartyTypeID>
        <ActivityStatusID>1</ActivityStatusID>
        <PartyAliasID>4</PartyAliasID>
        <PartyAliasName>משיב</PartyAliasName>
        <OrdinalNumber>1</OrdinalNumber>
        <LegalEntityID>77716800</LegalEntityID>
        <CaseLegalEntityID>119767259</CaseLegalEntityID>
        <AuthenticationTypeID>13</AuthenticationTypeID>
        <AuthenticationTypeName>משרדי ממשלה</AuthenticationTypeName>
        <LegalEntityNumber>570001772</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השלושה 2 כניסה ב תל אביב -יפו ת.ד 9040</FullAddress>
        <EmailAddress>tzavim-tv@justice.gov.il</EmailAddress>
        <MotionID>0</MotionID>
        <CasePleaID>0</CasePleaID>
        <LinkedCaseID>0</LinkedCaseID>
        <PartyID>2</PartyID>
        <CasePartyCategoryID>2</CasePartyCategoryID>
        <LegalEntityAddressID>82016569</LegalEntityAddressID>
        <LegalEntityEmailAddressID>68003156</LegalEntityEmailAddressID>
        <PleaTypeID>5</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עו"ד אוהד הראל (נאמן)</FullName>
        <FirstName>עו"ד אוהד</FirstName>
        <LastName>הראל (נאמן)</LastName>
        <PartyPropertyName/>
        <AuthenticationTypeAndNumber>ת"ז </AuthenticationTypeAndNumber>
        <RepresentatedOrRepresentativesNames>אוהד הראל</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245687773</CasePartyID>
        <PartyTypeID>1</PartyTypeID>
        <ActivityStatusID>1</ActivityStatusID>
        <PartyAliasID>4</PartyAliasID>
        <PartyAliasName>משיב</PartyAliasName>
        <OrdinalNumber>2</OrdinalNumber>
        <LegalEntityID>80728837</LegalEntityID>
        <CaseLegalEntityID>121262970</CaseLegalEntityID>
        <AuthenticationTypeID>1</AuthenticationTypeID>
        <AuthenticationTypeName>ת"ז</AuthenticationTypeName>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
        <MotionID>0</MotionID>
        <CasePleaID>0</CasePleaID>
        <LinkedCaseID>0</LinkedCaseID>
        <PartyID>2</PartyID>
        <CasePartyCategoryID>2</CasePartyCategoryID>
        <PleaTypeID>5</PleaTypeID>
        <GroupPartyAlias>משיבים</GroupPartyAlias>
        <IsConverted>false</IsConverted>
        <LegalEntityNameID>93679590</LegalEntityNameID>
        <RepresentatedNamesOfAssistant/>
        <LegalEntityTypeID>1</LegalEntityTypeID>
        <IsVerdictExists>false</IsVerdictExists>
        <IsAsirAzir>false</IsAsirAzir>
        <IsPublicationProhibited>false</IsPublicationProhibited>
        <PublicationProhibitedFullName>עו"ד אוהד הראל (נאמן)</PublicationProhibitedFullName>
      </CaseParties>
    </CasePartiesSelectionDS>
    <DecisionName>החלטה  שניתנה ע"י  אילן בן-דור</DecisionName>
    <CourtDisplayName>בית משפט השלום בראשון לציון</CourtDisplayName>
    <IsCaseJudgePanel>false</IsCaseJudgePanel>
    <DecisionSignatureDate>2023-12-25T08:50:49.768816+02:00</DecisionSignatureDate>
    <OpenCaseDate>2022-05-15T10:39:00+03:00</OpenCaseDate>
    <CaseFeeSum>0.000</CaseFeeSum>
    <ExternalCaseNumber>360365_3</ExternalCaseNumber>
    <DecisionTypeID>1</DecisionTypeID>
    <DecisionSignatureUserName>אילן בן-דור</DecisionSignatureUserName>
    <DecisionSignatureDateHebrew>2023-12-25T08:50:49.768816+02:00</DecisionSignatureDateHebrew>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ליבשיץ נ' ממונה על חדלות פירעון – מחוז תל אביב ואח'</CaseName>
    <DecisionNumberInCase>14</DecisionNumberInCase>
  </dt_Decision>
  <dt_DecisionCase>
    <DecisionID>0</DecisionID>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אוהד הראל</FullName>
        <FirstName>אוהד</FirstName>
        <LastName>הראל</LastName>
        <PartyPropertyName/>
        <AuthenticationTypeAndNumber>מ.ר. 58583</AuthenticationTypeAndNumber>
        <RepresentatedOrRepresentativesNames>עו"ד אוהד הראל (נאמן)</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245687875</CasePartyID>
        <PartyTypeID>2</PartyTypeID>
        <ActivityStatusID>1</ActivityStatusID>
        <PartyAliasID>23</PartyAliasID>
        <PartyAliasName>בא כוח משיבים</PartyAliasName>
        <LegalEntityID>71154511</LegalEntityID>
        <CaseLegalEntityID>121263021</CaseLegalEntityID>
        <AuthenticationTypeID>4</AuthenticationTypeID>
        <AuthenticationTypeName>מ.ר.</AuthenticationTypeName>
        <LegalEntityNumber>58583</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זבוטנסקי 9 בני ברק אצל משרד ברוכשטיין
 רייף רוהר</FullAddress>
        <EmailAddress>ohad@harel.law</EmailAddress>
        <MotionID>0</MotionID>
        <CasePleaID>0</CasePleaID>
        <LinkedCaseID>0</LinkedCaseID>
        <PartyID>2</PartyID>
        <CasePartyCategoryID>2</CasePartyCategoryID>
        <LegalEntityAddressID>87748752</LegalEntityAddressID>
        <LegalEntityEmailAddressID>68254186</LegalEntityEmailAddressID>
        <PleaTypeID>5</PleaTypeID>
        <LawyerOfficeName>משרד עו"ד אוהד הראל</LawyerOfficeName>
        <LawyerOfficeID>71154512</LawyerOfficeID>
        <GroupPartyAlias/>
        <IsConverted>false</IsConverted>
        <LegalEntityNameID>74104426</LegalEntityNameID>
        <RepresentatedNamesOfAssistant/>
        <LegalEntityTypeID>4</LegalEntityTypeID>
        <IsVerdictExists>false</IsVerdictExists>
        <IsAsirAzir>false</IsAsirAzir>
        <IsPublicationProhibited>false</IsPublicationProhibited>
        <PublicationProhibitedFullName>אוהד הראל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לאוניד רובינוב</FullName>
        <FirstName>לאוניד</FirstName>
        <LastName>רובינוב</LastName>
        <PartyPropertyName/>
        <AuthenticationTypeAndNumber>מ.ר. 23837</AuthenticationTypeAndNumber>
        <RepresentatedOrRepresentativesNames>לאון ליבשיץ</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241001925</CasePartyID>
        <PartyTypeID>2</PartyTypeID>
        <ActivityStatusID>1</ActivityStatusID>
        <PartyAliasID>22</PartyAliasID>
        <PartyAliasName>בא כוח מבקשים</PartyAliasName>
        <OrdinalNumber>1</OrdinalNumber>
        <LegalEntityID>380553</LegalEntityID>
        <CaseLegalEntityID>119767258</CaseLegalEntityID>
        <AuthenticationTypeID>4</AuthenticationTypeID>
        <AuthenticationTypeName>מ.ר.</AuthenticationTypeName>
        <LegalEntityNumber>23837</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אחד העם 3 חולון דירה 1</FullAddress>
        <EmailAddress>leon0542007773@gmail.com</EmailAddress>
        <MotionID>0</MotionID>
        <CasePleaID>0</CasePleaID>
        <LinkedCaseID>0</LinkedCaseID>
        <PartyID>1</PartyID>
        <CasePartyCategoryID>2</CasePartyCategoryID>
        <LegalEntityAddressID>81057248</LegalEntityAddressID>
        <LegalEntityEmailAddressID>68269059</LegalEntityEmailAddressID>
        <PleaTypeID>5</PleaTypeID>
        <LawyerOfficeName>משרד עו"ד: לאוניד רובינוב</LawyerOfficeName>
        <LawyerOfficeID>421197</LawyerOfficeID>
        <GroupPartyAlias/>
        <IsConverted>false</IsConverted>
        <LegalEntityNameID>1537</LegalEntityNameID>
        <RepresentatedNamesOfAssistant/>
        <LegalEntityTypeID>4</LegalEntityTypeID>
        <IsVerdictExists>false</IsVerdictExists>
        <IsAsirAzir>false</IsAsirAzir>
        <IsPublicationProhibited>false</IsPublicationProhibited>
        <PublicationProhibitedFullName>לאוניד רובינוב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לאון ליבשיץ</FullName>
        <FirstName>לאון</FirstName>
        <LastName>ליבשיץ</LastName>
        <PartyPropertyName/>
        <AuthenticationTypeAndNumber>ת"ז 320850662</AuthenticationTypeAndNumber>
        <RepresentatedOrRepresentativesNames>לאוניד רובינוב</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241001924</CasePartyID>
        <PartyTypeID>1</PartyTypeID>
        <ActivityStatusID>1</ActivityStatusID>
        <PartyAliasID>3</PartyAliasID>
        <PartyAliasName>מבקש</PartyAliasName>
        <OrdinalNumber>1</OrdinalNumber>
        <LegalEntityID>16716830</LegalEntityID>
        <CaseLegalEntityID>119767257</CaseLegalEntityID>
        <AuthenticationTypeID>1</AuthenticationTypeID>
        <AuthenticationTypeName>ת"ז</AuthenticationTypeName>
        <LegalEntityNumber>320850662</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חרוד 119 ישרש </FullAddress>
        <MotionID>0</MotionID>
        <CasePleaID>0</CasePleaID>
        <FatherName>ולדימיר</FatherName>
        <LinkedCaseID>0</LinkedCaseID>
        <PartyID>1</PartyID>
        <CasePartyCategoryID>2</CasePartyCategoryID>
        <LegalEntityAddressID>86508449</LegalEntityAddressID>
        <FictitiousPoliceNumber/>
        <PleaTypeID>5</PleaTypeID>
        <GroupPartyAlias>מבקשים</GroupPartyAlias>
        <IsConverted>false</IsConverted>
        <LegalEntityRegisteredNameID>4730737</LegalEntityRegisteredNameID>
        <LegalEntityNameID>93108820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לאון ליבשיץ</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241001926</CasePartyID>
        <PartyTypeID>1</PartyTypeID>
        <ActivityStatusID>1</ActivityStatusID>
        <PartyAliasID>4</PartyAliasID>
        <PartyAliasName>משיב</PartyAliasName>
        <OrdinalNumber>1</OrdinalNumber>
        <LegalEntityID>77716800</LegalEntityID>
        <CaseLegalEntityID>119767259</CaseLegalEntityID>
        <AuthenticationTypeID>13</AuthenticationTypeID>
        <AuthenticationTypeName>משרדי ממשלה</AuthenticationTypeName>
        <LegalEntityNumber>570001772</LegalEntityNumber>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השלושה 2 כניסה ב תל אביב -יפו ת.ד 9040</FullAddress>
        <EmailAddress>tzavim-tv@justice.gov.il</EmailAddress>
        <MotionID>0</MotionID>
        <CasePleaID>0</CasePleaID>
        <LinkedCaseID>0</LinkedCaseID>
        <PartyID>2</PartyID>
        <CasePartyCategoryID>2</CasePartyCategoryID>
        <LegalEntityAddressID>82016569</LegalEntityAddressID>
        <LegalEntityEmailAddressID>68003156</LegalEntityEmailAddressID>
        <PleaTypeID>5</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עו"ד אוהד הראל (נאמן)</FullName>
        <FirstName>עו"ד אוהד</FirstName>
        <LastName>הראל (נאמן)</LastName>
        <PartyPropertyName/>
        <AuthenticationTypeAndNumber>ת"ז </AuthenticationTypeAndNumber>
        <RepresentatedOrRepresentativesNames>אוהד הראל</RepresentatedOrRepresentativesNames>
        <RepresentatedOrRepresentativesCount>1</RepresentatedOrRepresentativesCount>
        <InvitedBy/>
        <CaseID>79276307</CaseID>
        <CaseJudicialPersonPresentationDS>
          <CaseJudicalPersonActive>
            <CaseID>79276307</CaseID>
            <JudicialPersonID>059649806@GOV.IL</JudicialPersonID>
            <JudicialPersonTypeID>1</JudicialPersonTypeID>
            <JudicialTypeID>1</JudicialTypeID>
            <IsChairman>false</IsChairman>
            <TreatmentStartDate>2023-03-16T12:34:42.733+02:00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245687773</CasePartyID>
        <PartyTypeID>1</PartyTypeID>
        <ActivityStatusID>1</ActivityStatusID>
        <PartyAliasID>4</PartyAliasID>
        <PartyAliasName>משיב</PartyAliasName>
        <OrdinalNumber>2</OrdinalNumber>
        <LegalEntityID>80728837</LegalEntityID>
        <CaseLegalEntityID>121262970</CaseLegalEntityID>
        <AuthenticationTypeID>1</AuthenticationTypeID>
        <AuthenticationTypeName>ת"ז</AuthenticationTypeName>
        <IsMainPartyType>true</IsMainPartyType>
        <CaseDisplayIdentifier>29606-05-22</CaseDisplayIdentifier>
        <CaseTypeID>10295</CaseTypeID>
        <CaseTypeName>חדלות פירעון (חדל"פ)</CaseTypeName>
        <CaseName>ליבשיץ נ' ממונה על חדלות פירעון – מחוז תל אביב ואח'</CaseName>
        <FullAddress/>
        <MotionID>0</MotionID>
        <CasePleaID>0</CasePleaID>
        <LinkedCaseID>0</LinkedCaseID>
        <PartyID>2</PartyID>
        <CasePartyCategoryID>2</CasePartyCategoryID>
        <PleaTypeID>5</PleaTypeID>
        <GroupPartyAlias>משיבים</GroupPartyAlias>
        <IsConverted>false</IsConverted>
        <LegalEntityNameID>93679590</LegalEntityNameID>
        <RepresentatedNamesOfAssistant/>
        <LegalEntityTypeID>1</LegalEntityTypeID>
        <IsVerdictExists>false</IsVerdictExists>
        <IsAsirAzir>false</IsAsirAzir>
        <IsPublicationProhibited>false</IsPublicationProhibited>
        <PublicationProhibitedFullName>עו"ד אוהד הראל (נאמן)</PublicationProhibitedFullName>
      </CaseParties>
    </CasePartiesSelectionDS>
    <CaseName>ליבשיץ נ' ממונה על חדלות פירעון – מחוז תל אביב ואח'</CaseName>
    <CaseDisplayIdentifier>29606-05-22</CaseDisplayIdentifier>
    <CaseInterestID>10556</CaseInterestID>
    <CaseTypeShortName>חדל"פ</CaseTypeShortName>
  </dt_DecisionCase>
  <dt_DecisionJudgePanel>
    <JudgeID>059649806@GOV.IL</JudgeID>
    <DisplayName>אילן בן-דור</DisplayName>
    <RoleName>שופט</RoleName>
    <UserTitleName>שופט</UserTitleName>
  </dt_DecisionJudgePanel>
  <dt_LegalEntityDetails>
    <Fax>03-5609450</Fax>
    <Phone>03-5609455</Phone>
    <AddressDesc>אצל משרד ברוכשטיין
 רייף רוהר </AddressDesc>
    <PartyID>2</PartyID>
    <PartyTypeID>2</PartyTypeID>
    <DecisionID>0</DecisionID>
    <StreetName>זבוטנסקי 9</StreetName>
    <ZipCode>5126417</ZipCode>
    <CityName>בני ברק</CityName>
    <FullName>אוהד הראל</FullName>
    <Email>ohad@harel.law</Email>
    <IsPublicationProhibited>false</IsPublicationProhibited>
  </dt_LegalEntityDetails>
  <dt_LegalEntityDetails>
    <PartyID>1</PartyID>
    <PartyTypeID>1</PartyTypeID>
    <DecisionID>0</DecisionID>
    <StreetName>חרוד 119</StreetName>
    <CityName>ישרש</CityName>
    <FullName>לאון                      ליבשיץ                   </FullName>
    <IsPublicationProhibited>false</IsPublicationProhibited>
  </dt_LegalEntityDetails>
  <dt_LegalEntityDetails>
    <Fax>03-5038105</Fax>
    <AddressDesc>דירה 1</AddressDesc>
    <PartyID>1</PartyID>
    <PartyTypeID>2</PartyTypeID>
    <DecisionID>0</DecisionID>
    <StreetName>אחד העם 3</StreetName>
    <ZipCode>58331</ZipCode>
    <CityName>חולון</CityName>
    <FullName>לאוניד רובינוב</FullName>
    <Email>leon0542007773@gmail.com</Email>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tzavim-tv@justice.gov.il</Email>
    <IsPublicationProhibited>false</IsPublicationProhibited>
  </dt_LegalEntityDetails>
  <dt_LegalEntityDetails>
    <PartyID>2</PartyID>
    <PartyTypeID>1</PartyTypeID>
    <DecisionID>0</DecisionID>
    <FullName>עו"ד אוהד  הראל (נאמן)  </FullName>
    <IsPublicationProhibited>false</IsPublicationProhibited>
  </dt_LegalEntityDetails>
  <dt_CaseJudicalPersonActive>
    <CaseJudicalPerson>שופט אילן בן-דור</CaseJudicalPerson>
  </dt_CaseJudicalPersonActive>
  <dt_Sitting>
    <FutureSittingDate>2023-12-25T12:45:00+02:00</FutureSittingDate>
    <NextSittingTypeID>46</NextSittingTypeID>
    <NextMeetingDisplayName>שופט אילן בן-דור</NextMeetingDisplayName>
    <NextMeetingRoleName>שופט</NextMeetingRoleName>
    <NextMeetingUserTitleName>שופט</NextMeetingUserTitleName>
    <NextMeetingUserUPN>059649806@GOV.IL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138EE-B3C5-48AC-9684-D1649D5879AA}">
  <ds:schemaRefs/>
</ds:datastoreItem>
</file>

<file path=customXml/itemProps2.xml><?xml version="1.0" encoding="utf-8"?>
<ds:datastoreItem xmlns:ds="http://schemas.openxmlformats.org/officeDocument/2006/customXml" ds:itemID="{116233DD-7E40-4193-883C-E9FCF566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2636</Words>
  <Characters>11678</Characters>
  <Application>Microsoft Office Word</Application>
  <DocSecurity>0</DocSecurity>
  <Lines>253</Lines>
  <Paragraphs>110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2023-12-31T07:04:00Z</dcterms:created>
  <dcterms:modified xsi:type="dcterms:W3CDTF">2023-12-31T07:04:00Z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733d8d99551cb96029c4ece0e74fb6458347418a7b3228e3df29a19161876348</vt:lpwstr>
  </property>
</Properties>
</file>